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14:paraId="3BBD88CC" w14:textId="77777777" w:rsidTr="007F0DAE">
        <w:trPr>
          <w:trHeight w:val="690"/>
        </w:trPr>
        <w:tc>
          <w:tcPr>
            <w:tcW w:w="3240" w:type="dxa"/>
            <w:tcBorders>
              <w:top w:val="single" w:sz="12" w:space="0" w:color="auto"/>
              <w:left w:val="single" w:sz="12" w:space="0" w:color="auto"/>
              <w:bottom w:val="single" w:sz="4" w:space="0" w:color="auto"/>
              <w:right w:val="single" w:sz="12" w:space="0" w:color="auto"/>
            </w:tcBorders>
          </w:tcPr>
          <w:p w14:paraId="72FEA733" w14:textId="77777777" w:rsidR="009240C5" w:rsidRDefault="009240C5" w:rsidP="007F0DAE">
            <w:pPr>
              <w:pStyle w:val="Footer"/>
              <w:rPr>
                <w:b/>
                <w:sz w:val="32"/>
                <w:szCs w:val="32"/>
              </w:rPr>
            </w:pPr>
            <w:r>
              <w:rPr>
                <w:b/>
                <w:sz w:val="32"/>
                <w:szCs w:val="32"/>
              </w:rPr>
              <w:t>Annual PHA Plan</w:t>
            </w:r>
          </w:p>
          <w:p w14:paraId="2E6132A9" w14:textId="77777777"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14:paraId="61E13CDB" w14:textId="77777777"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18E897FE" w14:textId="77777777"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2E1BBD79" w14:textId="77777777"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14:paraId="79408865" w14:textId="77777777" w:rsidR="009240C5" w:rsidRPr="005D1505" w:rsidRDefault="009240C5" w:rsidP="0024362A">
            <w:pPr>
              <w:pStyle w:val="Footer"/>
              <w:rPr>
                <w:b/>
                <w:bCs/>
              </w:rPr>
            </w:pPr>
            <w:r>
              <w:rPr>
                <w:b/>
                <w:bCs/>
                <w:sz w:val="20"/>
                <w:szCs w:val="20"/>
              </w:rPr>
              <w:t xml:space="preserve">Expires:  </w:t>
            </w:r>
            <w:r w:rsidR="0024362A">
              <w:rPr>
                <w:b/>
                <w:bCs/>
                <w:sz w:val="20"/>
                <w:szCs w:val="20"/>
              </w:rPr>
              <w:t>02/29/2016</w:t>
            </w:r>
            <w:r w:rsidRPr="005D1505">
              <w:rPr>
                <w:b/>
                <w:bCs/>
                <w:sz w:val="22"/>
                <w:szCs w:val="22"/>
              </w:rPr>
              <w:t xml:space="preserve"> </w:t>
            </w:r>
          </w:p>
        </w:tc>
      </w:tr>
    </w:tbl>
    <w:p w14:paraId="7135C88E" w14:textId="77777777" w:rsidR="00E101DA" w:rsidRDefault="00E101DA" w:rsidP="00E101DA">
      <w:pPr>
        <w:pStyle w:val="Footer"/>
        <w:rPr>
          <w:sz w:val="32"/>
        </w:rPr>
        <w:sectPr w:rsidR="00E101DA" w:rsidSect="0024362A">
          <w:headerReference w:type="even" r:id="rId8"/>
          <w:footerReference w:type="even" r:id="rId9"/>
          <w:footerReference w:type="default" r:id="rId10"/>
          <w:headerReference w:type="first" r:id="rId11"/>
          <w:footerReference w:type="first" r:id="rId12"/>
          <w:pgSz w:w="12240" w:h="15840" w:code="1"/>
          <w:pgMar w:top="-907" w:right="1152" w:bottom="864" w:left="1152" w:header="1008" w:footer="576" w:gutter="0"/>
          <w:pgNumType w:start="1"/>
          <w:cols w:space="720"/>
          <w:docGrid w:linePitch="360"/>
        </w:sectPr>
      </w:pPr>
    </w:p>
    <w:p w14:paraId="375BF69C" w14:textId="77777777" w:rsidR="009D3311" w:rsidRDefault="00E101DA" w:rsidP="004E5848">
      <w:pPr>
        <w:rPr>
          <w:b/>
          <w:bCs/>
          <w:color w:val="000000"/>
          <w:sz w:val="16"/>
          <w:szCs w:val="16"/>
        </w:rPr>
      </w:pPr>
      <w:r>
        <w:rPr>
          <w:b/>
          <w:bCs/>
          <w:color w:val="000000"/>
          <w:sz w:val="16"/>
          <w:szCs w:val="16"/>
        </w:rPr>
        <w:br/>
      </w:r>
    </w:p>
    <w:p w14:paraId="5E107E6F" w14:textId="77777777" w:rsidR="009D4F35" w:rsidRDefault="009D4F35" w:rsidP="00AD5B9D">
      <w:pPr>
        <w:ind w:right="540"/>
        <w:rPr>
          <w:b/>
          <w:bCs/>
          <w:color w:val="000000"/>
          <w:sz w:val="16"/>
          <w:szCs w:val="16"/>
        </w:rPr>
      </w:pPr>
      <w:r>
        <w:rPr>
          <w:b/>
          <w:bCs/>
          <w:color w:val="000000"/>
          <w:sz w:val="16"/>
          <w:szCs w:val="16"/>
        </w:rPr>
        <w:t xml:space="preserve">Purpose.  </w:t>
      </w:r>
      <w:r w:rsidRPr="009D4F35">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39CF5845" w14:textId="77777777" w:rsidR="009D4F35" w:rsidRDefault="009D4F35" w:rsidP="00AD5B9D">
      <w:pPr>
        <w:ind w:right="540"/>
        <w:rPr>
          <w:b/>
          <w:bCs/>
          <w:color w:val="000000"/>
          <w:sz w:val="16"/>
          <w:szCs w:val="16"/>
        </w:rPr>
      </w:pPr>
    </w:p>
    <w:p w14:paraId="627A10C7" w14:textId="77777777" w:rsidR="00AD5B9D" w:rsidRPr="003A7F6D" w:rsidRDefault="00AD5B9D" w:rsidP="00AD5B9D">
      <w:pPr>
        <w:ind w:right="540"/>
        <w:rPr>
          <w:bCs/>
          <w:color w:val="000000"/>
          <w:sz w:val="16"/>
          <w:szCs w:val="16"/>
        </w:rPr>
      </w:pPr>
      <w:r>
        <w:rPr>
          <w:b/>
          <w:bCs/>
          <w:color w:val="000000"/>
          <w:sz w:val="16"/>
          <w:szCs w:val="16"/>
        </w:rPr>
        <w:t xml:space="preserve">Applicability.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proofErr w:type="gramStart"/>
      <w:r w:rsidR="001B428E">
        <w:rPr>
          <w:bCs/>
          <w:color w:val="000000"/>
          <w:sz w:val="16"/>
          <w:szCs w:val="16"/>
        </w:rPr>
        <w:t xml:space="preserve">ST </w:t>
      </w:r>
      <w:r w:rsidRPr="004E5848">
        <w:rPr>
          <w:bCs/>
          <w:color w:val="000000"/>
          <w:sz w:val="16"/>
          <w:szCs w:val="16"/>
        </w:rPr>
        <w:t xml:space="preserve"> is</w:t>
      </w:r>
      <w:proofErr w:type="gramEnd"/>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TROUBLED </w:t>
      </w:r>
      <w:r w:rsidRPr="009D3311">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7FE28798" w14:textId="77777777" w:rsidR="00B60FB0" w:rsidRDefault="00B60FB0" w:rsidP="009D3311">
      <w:pPr>
        <w:ind w:right="540"/>
        <w:rPr>
          <w:b/>
          <w:bCs/>
          <w:color w:val="000000"/>
          <w:sz w:val="16"/>
          <w:szCs w:val="16"/>
        </w:rPr>
      </w:pPr>
    </w:p>
    <w:p w14:paraId="3078C23D" w14:textId="77777777" w:rsidR="00D921A2" w:rsidRDefault="00D921A2" w:rsidP="00D921A2">
      <w:pPr>
        <w:ind w:right="540"/>
        <w:rPr>
          <w:b/>
          <w:bCs/>
          <w:color w:val="000000"/>
          <w:sz w:val="16"/>
          <w:szCs w:val="16"/>
        </w:rPr>
      </w:pPr>
      <w:r>
        <w:rPr>
          <w:b/>
          <w:bCs/>
          <w:color w:val="000000"/>
          <w:sz w:val="16"/>
          <w:szCs w:val="16"/>
        </w:rPr>
        <w:t xml:space="preserve">Definitions.  </w:t>
      </w:r>
    </w:p>
    <w:p w14:paraId="23C066EB" w14:textId="77777777" w:rsidR="00D921A2" w:rsidRDefault="00D921A2" w:rsidP="00D921A2">
      <w:pPr>
        <w:ind w:right="540"/>
        <w:rPr>
          <w:b/>
          <w:bCs/>
          <w:color w:val="000000"/>
          <w:sz w:val="16"/>
          <w:szCs w:val="16"/>
        </w:rPr>
      </w:pPr>
    </w:p>
    <w:p w14:paraId="27390729" w14:textId="77777777"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 xml:space="preserve">both </w:t>
      </w:r>
      <w:r w:rsidRPr="008C0688">
        <w:rPr>
          <w:sz w:val="16"/>
          <w:szCs w:val="16"/>
        </w:rPr>
        <w:t xml:space="preserve">of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xml:space="preserve">) assessments if administering both programs, </w:t>
      </w:r>
      <w:proofErr w:type="gramStart"/>
      <w:r w:rsidR="00250978">
        <w:rPr>
          <w:sz w:val="16"/>
          <w:szCs w:val="16"/>
        </w:rPr>
        <w:t>or</w:t>
      </w:r>
      <w:proofErr w:type="gramEnd"/>
      <w:r w:rsidR="00250978">
        <w:rPr>
          <w:sz w:val="16"/>
          <w:szCs w:val="16"/>
        </w:rPr>
        <w:t xml:space="preserve"> PHAS if only administering public housing.</w:t>
      </w:r>
    </w:p>
    <w:p w14:paraId="51D475CD"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or</w:t>
      </w:r>
      <w:r w:rsidR="00250978">
        <w:rPr>
          <w:bCs/>
          <w:sz w:val="16"/>
          <w:szCs w:val="16"/>
        </w:rPr>
        <w:t xml:space="preserve"> at risk of being designated as</w:t>
      </w:r>
      <w:r>
        <w:rPr>
          <w:bCs/>
          <w:sz w:val="16"/>
          <w:szCs w:val="16"/>
        </w:rPr>
        <w:t xml:space="preserve">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w:t>
      </w:r>
      <w:proofErr w:type="gramStart"/>
      <w:r w:rsidRPr="008C0688">
        <w:rPr>
          <w:bCs/>
          <w:sz w:val="16"/>
          <w:szCs w:val="16"/>
        </w:rPr>
        <w:t>exceeds</w:t>
      </w:r>
      <w:proofErr w:type="gramEnd"/>
      <w:r w:rsidRPr="008C0688">
        <w:rPr>
          <w:bCs/>
          <w:sz w:val="16"/>
          <w:szCs w:val="16"/>
        </w:rPr>
        <w:t xml:space="preserve"> 550.</w:t>
      </w:r>
    </w:p>
    <w:p w14:paraId="5EB8255E"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proofErr w:type="gramStart"/>
      <w:r w:rsidRPr="008C0688">
        <w:rPr>
          <w:sz w:val="16"/>
          <w:szCs w:val="16"/>
        </w:rPr>
        <w:t>assess</w:t>
      </w:r>
      <w:r w:rsidR="00250978">
        <w:rPr>
          <w:sz w:val="16"/>
          <w:szCs w:val="16"/>
        </w:rPr>
        <w:t>ment</w:t>
      </w:r>
      <w:proofErr w:type="gramEnd"/>
      <w:r w:rsidR="00250978">
        <w:rPr>
          <w:sz w:val="16"/>
          <w:szCs w:val="16"/>
        </w:rPr>
        <w:t xml:space="preserve"> and does not own or manage</w:t>
      </w:r>
      <w:r w:rsidRPr="008C0688">
        <w:rPr>
          <w:sz w:val="16"/>
          <w:szCs w:val="16"/>
        </w:rPr>
        <w:t xml:space="preserve"> public housing.  </w:t>
      </w:r>
    </w:p>
    <w:p w14:paraId="597E7691"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proofErr w:type="gramStart"/>
      <w:r w:rsidRPr="008C0688">
        <w:rPr>
          <w:sz w:val="16"/>
          <w:szCs w:val="16"/>
        </w:rPr>
        <w:t>exceeds</w:t>
      </w:r>
      <w:proofErr w:type="gramEnd"/>
      <w:r w:rsidRPr="008C0688">
        <w:rPr>
          <w:sz w:val="16"/>
          <w:szCs w:val="16"/>
        </w:rPr>
        <w:t xml:space="preserve">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14:paraId="63977656"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44A39D08" w14:textId="1547E2A0"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A PHA with 550 or fewer public housing dwelling units and/or housing choice vouchers combined</w:t>
      </w:r>
      <w:r w:rsidR="005A6457">
        <w:rPr>
          <w:sz w:val="16"/>
          <w:szCs w:val="16"/>
        </w:rPr>
        <w:t xml:space="preserve"> </w:t>
      </w:r>
      <w:r w:rsidRPr="008C0688">
        <w:rPr>
          <w:sz w:val="16"/>
          <w:szCs w:val="16"/>
        </w:rPr>
        <w:t xml:space="preserve">and is not PHAS or SEMAP troubled.  </w:t>
      </w:r>
    </w:p>
    <w:p w14:paraId="53CC02F0"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7F4EF120" w14:textId="77777777" w:rsidTr="00FE242D">
        <w:trPr>
          <w:gridAfter w:val="1"/>
          <w:wAfter w:w="9720" w:type="dxa"/>
          <w:trHeight w:val="461"/>
        </w:trPr>
        <w:tc>
          <w:tcPr>
            <w:tcW w:w="540" w:type="dxa"/>
            <w:shd w:val="clear" w:color="auto" w:fill="BFBFBF"/>
          </w:tcPr>
          <w:p w14:paraId="54999285" w14:textId="77777777" w:rsidR="006C60B5" w:rsidRPr="006C60B5" w:rsidRDefault="006C60B5" w:rsidP="00A203E5">
            <w:pPr>
              <w:jc w:val="center"/>
              <w:rPr>
                <w:b/>
                <w:sz w:val="20"/>
                <w:szCs w:val="20"/>
              </w:rPr>
            </w:pPr>
          </w:p>
          <w:p w14:paraId="2296D049"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0EC13D71" w14:textId="77777777" w:rsidR="006C60B5" w:rsidRPr="006C60B5" w:rsidRDefault="006C60B5" w:rsidP="00A203E5">
            <w:pPr>
              <w:rPr>
                <w:b/>
                <w:sz w:val="20"/>
                <w:szCs w:val="20"/>
              </w:rPr>
            </w:pPr>
          </w:p>
          <w:p w14:paraId="265EBF04" w14:textId="77777777" w:rsidR="006C60B5" w:rsidRPr="006C60B5" w:rsidRDefault="006C60B5" w:rsidP="00A203E5">
            <w:pPr>
              <w:rPr>
                <w:b/>
                <w:sz w:val="20"/>
                <w:szCs w:val="20"/>
              </w:rPr>
            </w:pPr>
            <w:r w:rsidRPr="006C60B5">
              <w:rPr>
                <w:b/>
                <w:sz w:val="20"/>
                <w:szCs w:val="20"/>
              </w:rPr>
              <w:t>PHA Information.</w:t>
            </w:r>
          </w:p>
          <w:p w14:paraId="1BD2C151" w14:textId="77777777" w:rsidR="006C60B5" w:rsidRPr="006C60B5" w:rsidRDefault="006C60B5" w:rsidP="00A203E5">
            <w:pPr>
              <w:rPr>
                <w:bCs/>
                <w:sz w:val="20"/>
                <w:szCs w:val="20"/>
              </w:rPr>
            </w:pPr>
          </w:p>
        </w:tc>
      </w:tr>
      <w:tr w:rsidR="006C60B5" w:rsidRPr="00445D7F" w14:paraId="33F546F0" w14:textId="77777777" w:rsidTr="00FE242D">
        <w:trPr>
          <w:gridAfter w:val="1"/>
          <w:wAfter w:w="9720" w:type="dxa"/>
          <w:trHeight w:val="2161"/>
        </w:trPr>
        <w:tc>
          <w:tcPr>
            <w:tcW w:w="540" w:type="dxa"/>
            <w:vMerge w:val="restart"/>
          </w:tcPr>
          <w:p w14:paraId="12855B61" w14:textId="77777777" w:rsidR="00D158FC" w:rsidRDefault="00D158FC" w:rsidP="00A203E5">
            <w:pPr>
              <w:jc w:val="center"/>
              <w:rPr>
                <w:b/>
                <w:sz w:val="16"/>
                <w:szCs w:val="16"/>
              </w:rPr>
            </w:pPr>
          </w:p>
          <w:p w14:paraId="210F4A5E" w14:textId="77777777" w:rsidR="006C60B5" w:rsidRDefault="006C60B5" w:rsidP="00A203E5">
            <w:pPr>
              <w:jc w:val="center"/>
              <w:rPr>
                <w:b/>
                <w:sz w:val="16"/>
                <w:szCs w:val="16"/>
              </w:rPr>
            </w:pPr>
            <w:r>
              <w:rPr>
                <w:b/>
                <w:sz w:val="16"/>
                <w:szCs w:val="16"/>
              </w:rPr>
              <w:t>A.1</w:t>
            </w:r>
          </w:p>
        </w:tc>
        <w:tc>
          <w:tcPr>
            <w:tcW w:w="9720" w:type="dxa"/>
            <w:gridSpan w:val="6"/>
          </w:tcPr>
          <w:p w14:paraId="62A4BF7A" w14:textId="77777777" w:rsidR="00D158FC" w:rsidRDefault="00D158FC" w:rsidP="00A203E5">
            <w:pPr>
              <w:rPr>
                <w:b/>
                <w:sz w:val="16"/>
                <w:szCs w:val="16"/>
              </w:rPr>
            </w:pPr>
          </w:p>
          <w:p w14:paraId="6552A886" w14:textId="7700DBAD"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w:t>
            </w:r>
            <w:r w:rsidR="00F542A0">
              <w:rPr>
                <w:sz w:val="16"/>
                <w:szCs w:val="16"/>
              </w:rPr>
              <w:t>Dane County Housing Authority</w:t>
            </w:r>
            <w:r w:rsidRPr="001F21C0">
              <w:rPr>
                <w:sz w:val="16"/>
                <w:szCs w:val="16"/>
              </w:rPr>
              <w:t>_______________</w:t>
            </w:r>
            <w:r w:rsidRPr="001F21C0">
              <w:rPr>
                <w:bCs/>
                <w:sz w:val="16"/>
                <w:szCs w:val="16"/>
              </w:rPr>
              <w:t>__________________________</w:t>
            </w:r>
            <w:proofErr w:type="gramStart"/>
            <w:r w:rsidRPr="001F21C0">
              <w:rPr>
                <w:bCs/>
                <w:sz w:val="16"/>
                <w:szCs w:val="16"/>
              </w:rPr>
              <w:t xml:space="preserve">_ </w:t>
            </w:r>
            <w:r>
              <w:rPr>
                <w:bCs/>
                <w:sz w:val="16"/>
                <w:szCs w:val="16"/>
              </w:rPr>
              <w:t xml:space="preserve"> </w:t>
            </w:r>
            <w:r w:rsidRPr="00B93A6A">
              <w:rPr>
                <w:b/>
                <w:bCs/>
                <w:sz w:val="16"/>
                <w:szCs w:val="16"/>
              </w:rPr>
              <w:t>PHA</w:t>
            </w:r>
            <w:proofErr w:type="gramEnd"/>
            <w:r w:rsidRPr="00B93A6A">
              <w:rPr>
                <w:b/>
                <w:bCs/>
                <w:sz w:val="16"/>
                <w:szCs w:val="16"/>
              </w:rPr>
              <w:t xml:space="preserve"> Code</w:t>
            </w:r>
            <w:r w:rsidRPr="001F21C0">
              <w:rPr>
                <w:bCs/>
                <w:sz w:val="16"/>
                <w:szCs w:val="16"/>
              </w:rPr>
              <w:t>: __</w:t>
            </w:r>
            <w:r w:rsidR="00F542A0">
              <w:rPr>
                <w:bCs/>
                <w:sz w:val="16"/>
                <w:szCs w:val="16"/>
              </w:rPr>
              <w:t>WI214</w:t>
            </w:r>
            <w:r w:rsidRPr="001F21C0">
              <w:rPr>
                <w:bCs/>
                <w:sz w:val="16"/>
                <w:szCs w:val="16"/>
              </w:rPr>
              <w:t>_____________</w:t>
            </w:r>
          </w:p>
          <w:p w14:paraId="2F180A87" w14:textId="6E928CDF" w:rsidR="006C60B5" w:rsidRDefault="006C60B5" w:rsidP="00943CB1">
            <w:pPr>
              <w:rPr>
                <w:sz w:val="16"/>
                <w:szCs w:val="16"/>
              </w:rPr>
            </w:pPr>
            <w:r w:rsidRPr="00B93A6A">
              <w:rPr>
                <w:b/>
                <w:bCs/>
                <w:sz w:val="16"/>
                <w:szCs w:val="16"/>
              </w:rPr>
              <w:t>PHA Type</w:t>
            </w:r>
            <w:r w:rsidR="004E5848">
              <w:rPr>
                <w:b/>
                <w:bCs/>
                <w:sz w:val="16"/>
                <w:szCs w:val="16"/>
              </w:rPr>
              <w:t xml:space="preserve">:   </w:t>
            </w:r>
            <w:r w:rsidR="00DB3D70"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000000">
              <w:rPr>
                <w:sz w:val="16"/>
                <w:szCs w:val="16"/>
              </w:rPr>
            </w:r>
            <w:r w:rsidR="00000000">
              <w:rPr>
                <w:sz w:val="16"/>
                <w:szCs w:val="16"/>
              </w:rPr>
              <w:fldChar w:fldCharType="separate"/>
            </w:r>
            <w:r w:rsidR="00DB3D70" w:rsidRPr="001F21C0">
              <w:rPr>
                <w:sz w:val="16"/>
                <w:szCs w:val="16"/>
              </w:rPr>
              <w:fldChar w:fldCharType="end"/>
            </w:r>
            <w:r w:rsidR="008F2F1C">
              <w:rPr>
                <w:sz w:val="16"/>
                <w:szCs w:val="16"/>
              </w:rPr>
              <w:t xml:space="preserve"> </w:t>
            </w:r>
            <w:r w:rsidR="006F2F1B">
              <w:rPr>
                <w:sz w:val="16"/>
                <w:szCs w:val="16"/>
              </w:rPr>
              <w:t xml:space="preserve">Standard </w:t>
            </w:r>
            <w:r w:rsidR="00E760D2">
              <w:rPr>
                <w:sz w:val="16"/>
                <w:szCs w:val="16"/>
              </w:rPr>
              <w:t xml:space="preserve">PHA </w:t>
            </w:r>
            <w:r w:rsidR="006F2F1B">
              <w:rPr>
                <w:sz w:val="16"/>
                <w:szCs w:val="16"/>
              </w:rPr>
              <w:t xml:space="preserve">  </w:t>
            </w:r>
            <w:r w:rsidR="00F542A0">
              <w:rPr>
                <w:sz w:val="16"/>
                <w:szCs w:val="16"/>
              </w:rPr>
              <w:fldChar w:fldCharType="begin">
                <w:ffData>
                  <w:name w:val="Check1"/>
                  <w:enabled/>
                  <w:calcOnExit w:val="0"/>
                  <w:checkBox>
                    <w:sizeAuto/>
                    <w:default w:val="1"/>
                  </w:checkBox>
                </w:ffData>
              </w:fldChar>
            </w:r>
            <w:bookmarkStart w:id="0" w:name="Check1"/>
            <w:r w:rsidR="00F542A0">
              <w:rPr>
                <w:sz w:val="16"/>
                <w:szCs w:val="16"/>
              </w:rPr>
              <w:instrText xml:space="preserve"> FORMCHECKBOX </w:instrText>
            </w:r>
            <w:r w:rsidR="00000000">
              <w:rPr>
                <w:sz w:val="16"/>
                <w:szCs w:val="16"/>
              </w:rPr>
            </w:r>
            <w:r w:rsidR="00000000">
              <w:rPr>
                <w:sz w:val="16"/>
                <w:szCs w:val="16"/>
              </w:rPr>
              <w:fldChar w:fldCharType="separate"/>
            </w:r>
            <w:r w:rsidR="00F542A0">
              <w:rPr>
                <w:sz w:val="16"/>
                <w:szCs w:val="16"/>
              </w:rPr>
              <w:fldChar w:fldCharType="end"/>
            </w:r>
            <w:bookmarkEnd w:id="0"/>
            <w:r w:rsidR="006F2F1B">
              <w:rPr>
                <w:sz w:val="16"/>
                <w:szCs w:val="16"/>
              </w:rPr>
              <w:t xml:space="preserve"> Troubled </w:t>
            </w:r>
            <w:r w:rsidR="00E760D2">
              <w:rPr>
                <w:sz w:val="16"/>
                <w:szCs w:val="16"/>
              </w:rPr>
              <w:t>PHA</w:t>
            </w:r>
            <w:r w:rsidR="006F2F1B">
              <w:rPr>
                <w:sz w:val="16"/>
                <w:szCs w:val="16"/>
              </w:rPr>
              <w:t xml:space="preserve">     </w:t>
            </w:r>
          </w:p>
          <w:p w14:paraId="48589B75" w14:textId="4455F945"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proofErr w:type="gramStart"/>
            <w:r w:rsidRPr="001F21C0">
              <w:rPr>
                <w:bCs/>
                <w:sz w:val="16"/>
                <w:szCs w:val="16"/>
              </w:rPr>
              <w:t>:</w:t>
            </w:r>
            <w:r>
              <w:rPr>
                <w:bCs/>
                <w:sz w:val="16"/>
                <w:szCs w:val="16"/>
              </w:rPr>
              <w:t xml:space="preserve"> </w:t>
            </w:r>
            <w:r w:rsidRPr="001F21C0">
              <w:rPr>
                <w:bCs/>
                <w:sz w:val="16"/>
                <w:szCs w:val="16"/>
              </w:rPr>
              <w:t xml:space="preserve"> (</w:t>
            </w:r>
            <w:proofErr w:type="gramEnd"/>
            <w:r w:rsidR="00123A34">
              <w:rPr>
                <w:bCs/>
                <w:sz w:val="16"/>
                <w:szCs w:val="16"/>
              </w:rPr>
              <w:t>01/202</w:t>
            </w:r>
            <w:r w:rsidR="00371A5E">
              <w:rPr>
                <w:bCs/>
                <w:sz w:val="16"/>
                <w:szCs w:val="16"/>
              </w:rPr>
              <w:t>3</w:t>
            </w:r>
            <w:r w:rsidRPr="001F21C0">
              <w:rPr>
                <w:bCs/>
                <w:sz w:val="16"/>
                <w:szCs w:val="16"/>
              </w:rPr>
              <w:t>):__________</w:t>
            </w:r>
            <w:r w:rsidRPr="00445D7F">
              <w:rPr>
                <w:bCs/>
                <w:sz w:val="16"/>
                <w:szCs w:val="16"/>
              </w:rPr>
              <w:t xml:space="preserve"> </w:t>
            </w:r>
          </w:p>
          <w:p w14:paraId="0A50BD1C" w14:textId="77777777"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56739A56" w14:textId="3362FE3A" w:rsidR="009363D4" w:rsidRDefault="009363D4" w:rsidP="009363D4">
            <w:pPr>
              <w:rPr>
                <w:b/>
                <w:bCs/>
                <w:sz w:val="16"/>
                <w:szCs w:val="16"/>
              </w:rPr>
            </w:pPr>
            <w:r>
              <w:rPr>
                <w:b/>
                <w:bCs/>
                <w:sz w:val="16"/>
                <w:szCs w:val="16"/>
              </w:rPr>
              <w:t>Number of Public Housing (PH) Units _</w:t>
            </w:r>
            <w:r w:rsidR="00F542A0">
              <w:rPr>
                <w:b/>
                <w:bCs/>
                <w:sz w:val="16"/>
                <w:szCs w:val="16"/>
              </w:rPr>
              <w:t>86</w:t>
            </w:r>
            <w:r>
              <w:rPr>
                <w:b/>
                <w:bCs/>
                <w:sz w:val="16"/>
                <w:szCs w:val="16"/>
              </w:rPr>
              <w:t>_______</w:t>
            </w:r>
            <w:proofErr w:type="gramStart"/>
            <w:r>
              <w:rPr>
                <w:b/>
                <w:bCs/>
                <w:sz w:val="16"/>
                <w:szCs w:val="16"/>
              </w:rPr>
              <w:t>_  Number</w:t>
            </w:r>
            <w:proofErr w:type="gramEnd"/>
            <w:r>
              <w:rPr>
                <w:b/>
                <w:bCs/>
                <w:sz w:val="16"/>
                <w:szCs w:val="16"/>
              </w:rPr>
              <w:t xml:space="preserve"> of Housing Choice Vouchers (HCVs) ____</w:t>
            </w:r>
            <w:r w:rsidR="005A4A56">
              <w:rPr>
                <w:b/>
                <w:bCs/>
                <w:sz w:val="16"/>
                <w:szCs w:val="16"/>
              </w:rPr>
              <w:t>1,</w:t>
            </w:r>
            <w:r w:rsidR="00542586">
              <w:rPr>
                <w:b/>
                <w:bCs/>
                <w:sz w:val="16"/>
                <w:szCs w:val="16"/>
              </w:rPr>
              <w:t>413</w:t>
            </w:r>
            <w:r>
              <w:rPr>
                <w:b/>
                <w:bCs/>
                <w:sz w:val="16"/>
                <w:szCs w:val="16"/>
              </w:rPr>
              <w:t>_______</w:t>
            </w:r>
            <w:r w:rsidR="000339AB">
              <w:rPr>
                <w:b/>
                <w:bCs/>
                <w:sz w:val="16"/>
                <w:szCs w:val="16"/>
              </w:rPr>
              <w:t xml:space="preserve">Total </w:t>
            </w:r>
            <w:r w:rsidR="007B7CC9">
              <w:rPr>
                <w:b/>
                <w:bCs/>
                <w:sz w:val="16"/>
                <w:szCs w:val="16"/>
              </w:rPr>
              <w:t xml:space="preserve">Combined </w:t>
            </w:r>
            <w:r w:rsidR="000339AB">
              <w:rPr>
                <w:b/>
                <w:bCs/>
                <w:sz w:val="16"/>
                <w:szCs w:val="16"/>
              </w:rPr>
              <w:t>Units/Vouchers</w:t>
            </w:r>
            <w:r w:rsidR="005A4A56">
              <w:rPr>
                <w:b/>
                <w:bCs/>
                <w:sz w:val="16"/>
                <w:szCs w:val="16"/>
              </w:rPr>
              <w:t xml:space="preserve"> 1,4</w:t>
            </w:r>
            <w:r w:rsidR="00542586">
              <w:rPr>
                <w:b/>
                <w:bCs/>
                <w:sz w:val="16"/>
                <w:szCs w:val="16"/>
              </w:rPr>
              <w:t>99</w:t>
            </w:r>
            <w:r w:rsidR="005A4A56">
              <w:rPr>
                <w:b/>
                <w:bCs/>
                <w:sz w:val="16"/>
                <w:szCs w:val="16"/>
              </w:rPr>
              <w:t xml:space="preserve"> (includes 153 Mainstream Vouchers</w:t>
            </w:r>
            <w:r w:rsidR="00542586">
              <w:rPr>
                <w:b/>
                <w:bCs/>
                <w:sz w:val="16"/>
                <w:szCs w:val="16"/>
              </w:rPr>
              <w:t xml:space="preserve"> and 45 Emergency Housing Vouchers</w:t>
            </w:r>
            <w:r w:rsidR="005A4A56">
              <w:rPr>
                <w:b/>
                <w:bCs/>
                <w:sz w:val="16"/>
                <w:szCs w:val="16"/>
              </w:rPr>
              <w:t>)</w:t>
            </w:r>
          </w:p>
          <w:p w14:paraId="2BF4B3CE" w14:textId="4FC9F5AA" w:rsidR="009363D4" w:rsidRDefault="009363D4" w:rsidP="009363D4">
            <w:pPr>
              <w:rPr>
                <w:sz w:val="16"/>
                <w:szCs w:val="16"/>
              </w:rPr>
            </w:pPr>
            <w:r>
              <w:rPr>
                <w:b/>
                <w:bCs/>
                <w:sz w:val="16"/>
                <w:szCs w:val="16"/>
              </w:rPr>
              <w:t xml:space="preserve">PHA Plan Submission Type:  </w:t>
            </w:r>
            <w:r w:rsidR="00F542A0">
              <w:rPr>
                <w:sz w:val="16"/>
                <w:szCs w:val="16"/>
              </w:rPr>
              <w:fldChar w:fldCharType="begin">
                <w:ffData>
                  <w:name w:val=""/>
                  <w:enabled/>
                  <w:calcOnExit w:val="0"/>
                  <w:checkBox>
                    <w:sizeAuto/>
                    <w:default w:val="1"/>
                  </w:checkBox>
                </w:ffData>
              </w:fldChar>
            </w:r>
            <w:r w:rsidR="00F542A0">
              <w:rPr>
                <w:sz w:val="16"/>
                <w:szCs w:val="16"/>
              </w:rPr>
              <w:instrText xml:space="preserve"> FORMCHECKBOX </w:instrText>
            </w:r>
            <w:r w:rsidR="00000000">
              <w:rPr>
                <w:sz w:val="16"/>
                <w:szCs w:val="16"/>
              </w:rPr>
            </w:r>
            <w:r w:rsidR="00000000">
              <w:rPr>
                <w:sz w:val="16"/>
                <w:szCs w:val="16"/>
              </w:rPr>
              <w:fldChar w:fldCharType="separate"/>
            </w:r>
            <w:r w:rsidR="00F542A0">
              <w:rPr>
                <w:sz w:val="16"/>
                <w:szCs w:val="16"/>
              </w:rPr>
              <w:fldChar w:fldCharType="end"/>
            </w:r>
            <w:r>
              <w:rPr>
                <w:sz w:val="16"/>
                <w:szCs w:val="16"/>
              </w:rPr>
              <w:t xml:space="preserve"> Annual Submission                   </w:t>
            </w:r>
            <w:r w:rsidR="00DB3D70"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000000">
              <w:rPr>
                <w:sz w:val="16"/>
                <w:szCs w:val="16"/>
              </w:rPr>
            </w:r>
            <w:r w:rsidR="00000000">
              <w:rPr>
                <w:sz w:val="16"/>
                <w:szCs w:val="16"/>
              </w:rPr>
              <w:fldChar w:fldCharType="separate"/>
            </w:r>
            <w:r w:rsidR="00DB3D70" w:rsidRPr="001F21C0">
              <w:rPr>
                <w:sz w:val="16"/>
                <w:szCs w:val="16"/>
              </w:rPr>
              <w:fldChar w:fldCharType="end"/>
            </w:r>
            <w:r>
              <w:rPr>
                <w:sz w:val="16"/>
                <w:szCs w:val="16"/>
              </w:rPr>
              <w:t>Revised Annual Submission</w:t>
            </w:r>
            <w:r>
              <w:rPr>
                <w:sz w:val="16"/>
                <w:szCs w:val="16"/>
              </w:rPr>
              <w:tab/>
            </w:r>
          </w:p>
          <w:p w14:paraId="65A2A227" w14:textId="77777777" w:rsidR="009363D4" w:rsidRDefault="009363D4" w:rsidP="009363D4">
            <w:pPr>
              <w:rPr>
                <w:sz w:val="16"/>
                <w:szCs w:val="16"/>
              </w:rPr>
            </w:pPr>
          </w:p>
          <w:p w14:paraId="2B33947A" w14:textId="22C8F6F0" w:rsidR="009363D4" w:rsidRDefault="009363D4"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w:t>
            </w:r>
            <w:r w:rsidR="000339AB">
              <w:rPr>
                <w:bCs/>
                <w:sz w:val="16"/>
                <w:szCs w:val="16"/>
              </w:rPr>
              <w:t xml:space="preserve">in sections B and C </w:t>
            </w:r>
            <w:r w:rsidRPr="00DF7BC6">
              <w:rPr>
                <w:bCs/>
                <w:sz w:val="16"/>
                <w:szCs w:val="16"/>
              </w:rPr>
              <w:t xml:space="preserve">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At a minimum, PHAs must post PHA Plans, including updates, at each Asset Management Project (AMP) and main office or central office of the PHA.  PHAs are strongly encouraged to post complete PHA Plans on </w:t>
            </w:r>
            <w:r w:rsidR="00ED6102">
              <w:rPr>
                <w:bCs/>
                <w:sz w:val="16"/>
                <w:szCs w:val="16"/>
              </w:rPr>
              <w:t>their</w:t>
            </w:r>
            <w:r w:rsidRPr="00DF7BC6">
              <w:rPr>
                <w:bCs/>
                <w:sz w:val="16"/>
                <w:szCs w:val="16"/>
              </w:rPr>
              <w:t xml:space="preserve"> official website.  PHAs are also encouraged to provide each resident council a copy of </w:t>
            </w:r>
            <w:r w:rsidR="00ED6102">
              <w:rPr>
                <w:bCs/>
                <w:sz w:val="16"/>
                <w:szCs w:val="16"/>
              </w:rPr>
              <w:t>their</w:t>
            </w:r>
            <w:r w:rsidRPr="00DF7BC6">
              <w:rPr>
                <w:bCs/>
                <w:sz w:val="16"/>
                <w:szCs w:val="16"/>
              </w:rPr>
              <w:t xml:space="preserve"> PHA Plans.</w:t>
            </w:r>
            <w:r w:rsidRPr="00DF7BC6">
              <w:rPr>
                <w:b/>
                <w:bCs/>
                <w:sz w:val="16"/>
                <w:szCs w:val="16"/>
              </w:rPr>
              <w:t xml:space="preserve">  </w:t>
            </w:r>
          </w:p>
          <w:p w14:paraId="5B5CEDCD" w14:textId="6C75CCD9" w:rsidR="00D9204A" w:rsidRDefault="00D9204A" w:rsidP="009363D4">
            <w:pPr>
              <w:rPr>
                <w:b/>
                <w:bCs/>
                <w:sz w:val="16"/>
                <w:szCs w:val="16"/>
              </w:rPr>
            </w:pPr>
          </w:p>
          <w:p w14:paraId="7E408E73" w14:textId="6AF9A69C" w:rsidR="00D9204A" w:rsidRPr="00D9204A" w:rsidRDefault="00D9204A" w:rsidP="009363D4">
            <w:pPr>
              <w:rPr>
                <w:sz w:val="16"/>
                <w:szCs w:val="16"/>
              </w:rPr>
            </w:pPr>
            <w:r>
              <w:rPr>
                <w:sz w:val="16"/>
                <w:szCs w:val="16"/>
              </w:rPr>
              <w:t>The DCHA Annual Plan may be obtained at the offices of the Dane County Housing Authority, which are located at 6000 Gisholt Drive, Suite 203, Monona, WI 53713 or at DCHA’s website, which can be found at: www.dcha.net</w:t>
            </w:r>
          </w:p>
          <w:p w14:paraId="74D3CBC8" w14:textId="77777777" w:rsidR="005B43EA" w:rsidRDefault="005B43EA" w:rsidP="00A203E5">
            <w:pPr>
              <w:rPr>
                <w:bCs/>
                <w:sz w:val="16"/>
                <w:szCs w:val="16"/>
              </w:rPr>
            </w:pPr>
          </w:p>
          <w:p w14:paraId="7C3DB216" w14:textId="77777777" w:rsidR="009244A3" w:rsidRDefault="009244A3" w:rsidP="00A203E5">
            <w:pPr>
              <w:rPr>
                <w:bCs/>
                <w:sz w:val="16"/>
                <w:szCs w:val="16"/>
              </w:rPr>
            </w:pPr>
          </w:p>
          <w:p w14:paraId="65E5EEB3" w14:textId="77777777" w:rsidR="006C60B5" w:rsidRDefault="006C60B5" w:rsidP="00A203E5">
            <w:pPr>
              <w:rPr>
                <w:bCs/>
                <w:sz w:val="16"/>
                <w:szCs w:val="16"/>
              </w:rPr>
            </w:pPr>
          </w:p>
          <w:p w14:paraId="41033AD8" w14:textId="77777777" w:rsidR="00EC1129" w:rsidRPr="00EC1129" w:rsidRDefault="00DB3D70"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000000">
              <w:rPr>
                <w:smallCaps/>
                <w:sz w:val="16"/>
                <w:szCs w:val="16"/>
              </w:rPr>
            </w:r>
            <w:r w:rsidR="00000000">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proofErr w:type="gramStart"/>
            <w:r w:rsidR="006C60B5">
              <w:rPr>
                <w:bCs/>
                <w:sz w:val="16"/>
                <w:szCs w:val="16"/>
              </w:rPr>
              <w:t xml:space="preserve">: </w:t>
            </w:r>
            <w:r w:rsidR="002A030A">
              <w:rPr>
                <w:bCs/>
                <w:sz w:val="16"/>
                <w:szCs w:val="16"/>
              </w:rPr>
              <w:t xml:space="preserve"> </w:t>
            </w:r>
            <w:r w:rsidR="00C02893">
              <w:rPr>
                <w:bCs/>
                <w:sz w:val="16"/>
                <w:szCs w:val="16"/>
              </w:rPr>
              <w:t>(</w:t>
            </w:r>
            <w:proofErr w:type="gramEnd"/>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14:paraId="6BBF214A" w14:textId="77777777" w:rsidTr="00FE242D">
        <w:trPr>
          <w:gridAfter w:val="1"/>
          <w:wAfter w:w="9720" w:type="dxa"/>
          <w:trHeight w:val="312"/>
        </w:trPr>
        <w:tc>
          <w:tcPr>
            <w:tcW w:w="540" w:type="dxa"/>
            <w:vMerge/>
          </w:tcPr>
          <w:p w14:paraId="63AF3030" w14:textId="77777777" w:rsidR="006C60B5" w:rsidRPr="00C938EB" w:rsidRDefault="006C60B5" w:rsidP="00A203E5">
            <w:pPr>
              <w:jc w:val="center"/>
              <w:rPr>
                <w:b/>
                <w:sz w:val="16"/>
                <w:szCs w:val="16"/>
              </w:rPr>
            </w:pPr>
          </w:p>
        </w:tc>
        <w:tc>
          <w:tcPr>
            <w:tcW w:w="2070" w:type="dxa"/>
            <w:vMerge w:val="restart"/>
            <w:vAlign w:val="center"/>
          </w:tcPr>
          <w:p w14:paraId="52D89AD2" w14:textId="77777777"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14:paraId="5AB84E04" w14:textId="77777777" w:rsidR="006C60B5" w:rsidRPr="003E72BF" w:rsidRDefault="006C60B5" w:rsidP="00A203E5">
            <w:pPr>
              <w:jc w:val="center"/>
              <w:rPr>
                <w:b/>
                <w:sz w:val="16"/>
                <w:szCs w:val="16"/>
              </w:rPr>
            </w:pPr>
            <w:r>
              <w:rPr>
                <w:b/>
                <w:sz w:val="16"/>
                <w:szCs w:val="16"/>
              </w:rPr>
              <w:t>PHA Code</w:t>
            </w:r>
          </w:p>
        </w:tc>
        <w:tc>
          <w:tcPr>
            <w:tcW w:w="2250" w:type="dxa"/>
            <w:vMerge w:val="restart"/>
            <w:vAlign w:val="center"/>
          </w:tcPr>
          <w:p w14:paraId="6B95E696" w14:textId="77777777"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14:paraId="70BC0159" w14:textId="77777777"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14:paraId="778CB315" w14:textId="77777777" w:rsidR="006C60B5" w:rsidRPr="003E72BF" w:rsidRDefault="006C60B5" w:rsidP="00A203E5">
            <w:pPr>
              <w:jc w:val="center"/>
              <w:rPr>
                <w:b/>
                <w:sz w:val="16"/>
                <w:szCs w:val="16"/>
              </w:rPr>
            </w:pPr>
            <w:r>
              <w:rPr>
                <w:b/>
                <w:sz w:val="16"/>
                <w:szCs w:val="16"/>
              </w:rPr>
              <w:t>No. of Units in Each Program</w:t>
            </w:r>
          </w:p>
        </w:tc>
      </w:tr>
      <w:tr w:rsidR="006C60B5" w:rsidRPr="00445D7F" w14:paraId="5AF5B260" w14:textId="77777777" w:rsidTr="00FE242D">
        <w:trPr>
          <w:gridAfter w:val="1"/>
          <w:wAfter w:w="9720" w:type="dxa"/>
          <w:trHeight w:val="231"/>
        </w:trPr>
        <w:tc>
          <w:tcPr>
            <w:tcW w:w="540" w:type="dxa"/>
            <w:vMerge/>
          </w:tcPr>
          <w:p w14:paraId="1E6D0D0B" w14:textId="77777777" w:rsidR="006C60B5" w:rsidRPr="00C938EB" w:rsidRDefault="006C60B5" w:rsidP="00A203E5">
            <w:pPr>
              <w:jc w:val="center"/>
              <w:rPr>
                <w:b/>
                <w:sz w:val="16"/>
                <w:szCs w:val="16"/>
              </w:rPr>
            </w:pPr>
          </w:p>
        </w:tc>
        <w:tc>
          <w:tcPr>
            <w:tcW w:w="2070" w:type="dxa"/>
            <w:vMerge/>
          </w:tcPr>
          <w:p w14:paraId="589A2DE5" w14:textId="77777777" w:rsidR="006C60B5" w:rsidRDefault="006C60B5" w:rsidP="00A203E5">
            <w:pPr>
              <w:rPr>
                <w:b/>
                <w:sz w:val="16"/>
                <w:szCs w:val="16"/>
              </w:rPr>
            </w:pPr>
          </w:p>
        </w:tc>
        <w:tc>
          <w:tcPr>
            <w:tcW w:w="990" w:type="dxa"/>
            <w:vMerge/>
          </w:tcPr>
          <w:p w14:paraId="2DDF8E4C" w14:textId="77777777" w:rsidR="006C60B5" w:rsidRDefault="006C60B5" w:rsidP="00A203E5">
            <w:pPr>
              <w:rPr>
                <w:b/>
                <w:sz w:val="16"/>
                <w:szCs w:val="16"/>
              </w:rPr>
            </w:pPr>
          </w:p>
        </w:tc>
        <w:tc>
          <w:tcPr>
            <w:tcW w:w="2250" w:type="dxa"/>
            <w:vMerge/>
          </w:tcPr>
          <w:p w14:paraId="7462C6DC" w14:textId="77777777" w:rsidR="006C60B5" w:rsidRDefault="006C60B5" w:rsidP="00A203E5">
            <w:pPr>
              <w:rPr>
                <w:b/>
                <w:sz w:val="16"/>
                <w:szCs w:val="16"/>
              </w:rPr>
            </w:pPr>
          </w:p>
        </w:tc>
        <w:tc>
          <w:tcPr>
            <w:tcW w:w="2070" w:type="dxa"/>
            <w:vMerge/>
          </w:tcPr>
          <w:p w14:paraId="0C73CA2E" w14:textId="77777777" w:rsidR="006C60B5" w:rsidRDefault="006C60B5" w:rsidP="00A203E5">
            <w:pPr>
              <w:rPr>
                <w:b/>
                <w:sz w:val="16"/>
                <w:szCs w:val="16"/>
              </w:rPr>
            </w:pPr>
          </w:p>
        </w:tc>
        <w:tc>
          <w:tcPr>
            <w:tcW w:w="1080" w:type="dxa"/>
            <w:vAlign w:val="center"/>
          </w:tcPr>
          <w:p w14:paraId="511FFBAF" w14:textId="77777777" w:rsidR="006C60B5" w:rsidRDefault="006C60B5" w:rsidP="00A203E5">
            <w:pPr>
              <w:jc w:val="center"/>
              <w:rPr>
                <w:b/>
                <w:sz w:val="16"/>
                <w:szCs w:val="16"/>
              </w:rPr>
            </w:pPr>
            <w:r>
              <w:rPr>
                <w:b/>
                <w:sz w:val="16"/>
                <w:szCs w:val="16"/>
              </w:rPr>
              <w:t>PH</w:t>
            </w:r>
          </w:p>
        </w:tc>
        <w:tc>
          <w:tcPr>
            <w:tcW w:w="1260" w:type="dxa"/>
            <w:vAlign w:val="center"/>
          </w:tcPr>
          <w:p w14:paraId="53075286" w14:textId="77777777" w:rsidR="006C60B5" w:rsidRDefault="006C60B5" w:rsidP="00A203E5">
            <w:pPr>
              <w:jc w:val="center"/>
              <w:rPr>
                <w:b/>
                <w:sz w:val="16"/>
                <w:szCs w:val="16"/>
              </w:rPr>
            </w:pPr>
            <w:r>
              <w:rPr>
                <w:b/>
                <w:sz w:val="16"/>
                <w:szCs w:val="16"/>
              </w:rPr>
              <w:t>HCV</w:t>
            </w:r>
          </w:p>
        </w:tc>
      </w:tr>
      <w:tr w:rsidR="006C60B5" w:rsidRPr="00445D7F" w14:paraId="3AE84A49" w14:textId="77777777" w:rsidTr="00FE242D">
        <w:trPr>
          <w:gridAfter w:val="1"/>
          <w:wAfter w:w="9720" w:type="dxa"/>
          <w:trHeight w:val="720"/>
        </w:trPr>
        <w:tc>
          <w:tcPr>
            <w:tcW w:w="540" w:type="dxa"/>
            <w:vMerge/>
          </w:tcPr>
          <w:p w14:paraId="1EC8E298" w14:textId="77777777" w:rsidR="006C60B5" w:rsidRPr="00C938EB" w:rsidRDefault="006C60B5" w:rsidP="00A203E5">
            <w:pPr>
              <w:jc w:val="center"/>
              <w:rPr>
                <w:b/>
                <w:sz w:val="16"/>
                <w:szCs w:val="16"/>
              </w:rPr>
            </w:pPr>
          </w:p>
        </w:tc>
        <w:tc>
          <w:tcPr>
            <w:tcW w:w="2070" w:type="dxa"/>
          </w:tcPr>
          <w:p w14:paraId="1BA9B345" w14:textId="77777777" w:rsidR="006C60B5" w:rsidRDefault="000339AB" w:rsidP="00A203E5">
            <w:pPr>
              <w:rPr>
                <w:bCs/>
                <w:sz w:val="16"/>
                <w:szCs w:val="16"/>
              </w:rPr>
            </w:pPr>
            <w:r>
              <w:rPr>
                <w:bCs/>
                <w:sz w:val="16"/>
                <w:szCs w:val="16"/>
              </w:rPr>
              <w:t xml:space="preserve">Lead PHA:                                                  </w:t>
            </w:r>
          </w:p>
        </w:tc>
        <w:tc>
          <w:tcPr>
            <w:tcW w:w="990" w:type="dxa"/>
          </w:tcPr>
          <w:p w14:paraId="584F0D92" w14:textId="77777777" w:rsidR="006C60B5" w:rsidRDefault="006C60B5" w:rsidP="00A203E5">
            <w:pPr>
              <w:rPr>
                <w:bCs/>
                <w:sz w:val="16"/>
                <w:szCs w:val="16"/>
              </w:rPr>
            </w:pPr>
          </w:p>
          <w:p w14:paraId="6BC87A05" w14:textId="77777777" w:rsidR="006C60B5" w:rsidRDefault="006C60B5" w:rsidP="00A203E5">
            <w:pPr>
              <w:rPr>
                <w:bCs/>
                <w:sz w:val="16"/>
                <w:szCs w:val="16"/>
              </w:rPr>
            </w:pPr>
          </w:p>
        </w:tc>
        <w:tc>
          <w:tcPr>
            <w:tcW w:w="2250" w:type="dxa"/>
          </w:tcPr>
          <w:p w14:paraId="04FE05CF" w14:textId="77777777" w:rsidR="006C60B5" w:rsidRDefault="006C60B5" w:rsidP="00A203E5">
            <w:pPr>
              <w:rPr>
                <w:bCs/>
                <w:sz w:val="16"/>
                <w:szCs w:val="16"/>
              </w:rPr>
            </w:pPr>
          </w:p>
          <w:p w14:paraId="20319092" w14:textId="77777777" w:rsidR="006C60B5" w:rsidRDefault="006C60B5" w:rsidP="00A203E5">
            <w:pPr>
              <w:rPr>
                <w:bCs/>
                <w:sz w:val="16"/>
                <w:szCs w:val="16"/>
              </w:rPr>
            </w:pPr>
          </w:p>
          <w:p w14:paraId="2883F7A0" w14:textId="77777777" w:rsidR="00ED6102" w:rsidRDefault="00ED6102" w:rsidP="00A203E5">
            <w:pPr>
              <w:rPr>
                <w:bCs/>
                <w:sz w:val="16"/>
                <w:szCs w:val="16"/>
              </w:rPr>
            </w:pPr>
          </w:p>
          <w:p w14:paraId="69BF6CA5" w14:textId="77777777" w:rsidR="00ED6102" w:rsidRDefault="00ED6102" w:rsidP="00A203E5">
            <w:pPr>
              <w:rPr>
                <w:bCs/>
                <w:sz w:val="16"/>
                <w:szCs w:val="16"/>
              </w:rPr>
            </w:pPr>
          </w:p>
        </w:tc>
        <w:tc>
          <w:tcPr>
            <w:tcW w:w="2070" w:type="dxa"/>
          </w:tcPr>
          <w:p w14:paraId="6FB7E6A2" w14:textId="77777777" w:rsidR="006C60B5" w:rsidRDefault="006C60B5" w:rsidP="00A203E5">
            <w:pPr>
              <w:rPr>
                <w:bCs/>
                <w:sz w:val="16"/>
                <w:szCs w:val="16"/>
              </w:rPr>
            </w:pPr>
          </w:p>
          <w:p w14:paraId="7D17B5E1" w14:textId="77777777" w:rsidR="006C60B5" w:rsidRDefault="006C60B5" w:rsidP="00A203E5">
            <w:pPr>
              <w:rPr>
                <w:bCs/>
                <w:sz w:val="16"/>
                <w:szCs w:val="16"/>
              </w:rPr>
            </w:pPr>
          </w:p>
        </w:tc>
        <w:tc>
          <w:tcPr>
            <w:tcW w:w="1080" w:type="dxa"/>
          </w:tcPr>
          <w:p w14:paraId="11A981A3" w14:textId="77777777" w:rsidR="006C60B5" w:rsidRDefault="006C60B5" w:rsidP="00A203E5">
            <w:pPr>
              <w:rPr>
                <w:bCs/>
                <w:sz w:val="16"/>
                <w:szCs w:val="16"/>
              </w:rPr>
            </w:pPr>
          </w:p>
        </w:tc>
        <w:tc>
          <w:tcPr>
            <w:tcW w:w="1260" w:type="dxa"/>
          </w:tcPr>
          <w:p w14:paraId="2EDEF84C" w14:textId="77777777" w:rsidR="006C60B5" w:rsidRDefault="006C60B5" w:rsidP="00A203E5">
            <w:pPr>
              <w:rPr>
                <w:bCs/>
                <w:sz w:val="16"/>
                <w:szCs w:val="16"/>
              </w:rPr>
            </w:pPr>
          </w:p>
        </w:tc>
      </w:tr>
      <w:tr w:rsidR="006C60B5" w:rsidRPr="00445D7F" w14:paraId="52A1EF2C" w14:textId="77777777" w:rsidTr="00FE242D">
        <w:trPr>
          <w:gridAfter w:val="1"/>
          <w:wAfter w:w="9720" w:type="dxa"/>
          <w:trHeight w:val="720"/>
        </w:trPr>
        <w:tc>
          <w:tcPr>
            <w:tcW w:w="540" w:type="dxa"/>
            <w:vMerge/>
          </w:tcPr>
          <w:p w14:paraId="7C76A1B7" w14:textId="77777777" w:rsidR="006C60B5" w:rsidRPr="00C938EB" w:rsidRDefault="006C60B5" w:rsidP="00A203E5">
            <w:pPr>
              <w:jc w:val="center"/>
              <w:rPr>
                <w:b/>
                <w:sz w:val="16"/>
                <w:szCs w:val="16"/>
              </w:rPr>
            </w:pPr>
          </w:p>
        </w:tc>
        <w:tc>
          <w:tcPr>
            <w:tcW w:w="2070" w:type="dxa"/>
          </w:tcPr>
          <w:p w14:paraId="6E26E975" w14:textId="77777777" w:rsidR="006C60B5" w:rsidRDefault="000339AB" w:rsidP="00A203E5">
            <w:pPr>
              <w:rPr>
                <w:bCs/>
                <w:sz w:val="16"/>
                <w:szCs w:val="16"/>
              </w:rPr>
            </w:pPr>
            <w:r>
              <w:rPr>
                <w:bCs/>
                <w:sz w:val="16"/>
                <w:szCs w:val="16"/>
              </w:rPr>
              <w:t xml:space="preserve"> </w:t>
            </w:r>
          </w:p>
          <w:p w14:paraId="65D710A2" w14:textId="77777777" w:rsidR="001C5EE4" w:rsidRDefault="001C5EE4" w:rsidP="00A203E5">
            <w:pPr>
              <w:rPr>
                <w:bCs/>
                <w:sz w:val="16"/>
                <w:szCs w:val="16"/>
              </w:rPr>
            </w:pPr>
          </w:p>
        </w:tc>
        <w:tc>
          <w:tcPr>
            <w:tcW w:w="990" w:type="dxa"/>
          </w:tcPr>
          <w:p w14:paraId="06A5FCAF" w14:textId="77777777" w:rsidR="006C60B5" w:rsidRDefault="006C60B5" w:rsidP="00A203E5">
            <w:pPr>
              <w:rPr>
                <w:bCs/>
                <w:sz w:val="16"/>
                <w:szCs w:val="16"/>
              </w:rPr>
            </w:pPr>
          </w:p>
        </w:tc>
        <w:tc>
          <w:tcPr>
            <w:tcW w:w="2250" w:type="dxa"/>
          </w:tcPr>
          <w:p w14:paraId="28DB7348" w14:textId="77777777" w:rsidR="006C60B5" w:rsidRDefault="006C60B5" w:rsidP="00A203E5">
            <w:pPr>
              <w:rPr>
                <w:bCs/>
                <w:sz w:val="16"/>
                <w:szCs w:val="16"/>
              </w:rPr>
            </w:pPr>
          </w:p>
          <w:p w14:paraId="05E2635B" w14:textId="77777777" w:rsidR="00ED6102" w:rsidRDefault="00ED6102" w:rsidP="00A203E5">
            <w:pPr>
              <w:rPr>
                <w:bCs/>
                <w:sz w:val="16"/>
                <w:szCs w:val="16"/>
              </w:rPr>
            </w:pPr>
          </w:p>
          <w:p w14:paraId="590A5780" w14:textId="77777777" w:rsidR="00ED6102" w:rsidRDefault="00ED6102" w:rsidP="00A203E5">
            <w:pPr>
              <w:rPr>
                <w:bCs/>
                <w:sz w:val="16"/>
                <w:szCs w:val="16"/>
              </w:rPr>
            </w:pPr>
          </w:p>
          <w:p w14:paraId="7CCBA13D" w14:textId="77777777" w:rsidR="00ED6102" w:rsidRDefault="00ED6102" w:rsidP="00A203E5">
            <w:pPr>
              <w:rPr>
                <w:bCs/>
                <w:sz w:val="16"/>
                <w:szCs w:val="16"/>
              </w:rPr>
            </w:pPr>
          </w:p>
        </w:tc>
        <w:tc>
          <w:tcPr>
            <w:tcW w:w="2070" w:type="dxa"/>
          </w:tcPr>
          <w:p w14:paraId="2AF595E6" w14:textId="77777777" w:rsidR="006C60B5" w:rsidRDefault="006C60B5" w:rsidP="00A203E5">
            <w:pPr>
              <w:rPr>
                <w:bCs/>
                <w:sz w:val="16"/>
                <w:szCs w:val="16"/>
              </w:rPr>
            </w:pPr>
          </w:p>
        </w:tc>
        <w:tc>
          <w:tcPr>
            <w:tcW w:w="1080" w:type="dxa"/>
          </w:tcPr>
          <w:p w14:paraId="2A847265" w14:textId="77777777" w:rsidR="006C60B5" w:rsidRDefault="006C60B5" w:rsidP="00A203E5">
            <w:pPr>
              <w:rPr>
                <w:bCs/>
                <w:sz w:val="16"/>
                <w:szCs w:val="16"/>
              </w:rPr>
            </w:pPr>
          </w:p>
        </w:tc>
        <w:tc>
          <w:tcPr>
            <w:tcW w:w="1260" w:type="dxa"/>
          </w:tcPr>
          <w:p w14:paraId="36255E5D" w14:textId="77777777" w:rsidR="006C60B5" w:rsidRDefault="006C60B5" w:rsidP="00A203E5">
            <w:pPr>
              <w:rPr>
                <w:bCs/>
                <w:sz w:val="16"/>
                <w:szCs w:val="16"/>
              </w:rPr>
            </w:pPr>
          </w:p>
        </w:tc>
      </w:tr>
      <w:tr w:rsidR="006C60B5" w:rsidRPr="00445D7F" w14:paraId="01A96700" w14:textId="77777777" w:rsidTr="00FE242D">
        <w:trPr>
          <w:gridAfter w:val="1"/>
          <w:wAfter w:w="9720" w:type="dxa"/>
          <w:trHeight w:val="720"/>
        </w:trPr>
        <w:tc>
          <w:tcPr>
            <w:tcW w:w="540" w:type="dxa"/>
            <w:vMerge/>
          </w:tcPr>
          <w:p w14:paraId="29615F93" w14:textId="77777777" w:rsidR="006C60B5" w:rsidRPr="00C938EB" w:rsidRDefault="006C60B5" w:rsidP="00A203E5">
            <w:pPr>
              <w:jc w:val="center"/>
              <w:rPr>
                <w:b/>
                <w:sz w:val="16"/>
                <w:szCs w:val="16"/>
              </w:rPr>
            </w:pPr>
          </w:p>
        </w:tc>
        <w:tc>
          <w:tcPr>
            <w:tcW w:w="2070" w:type="dxa"/>
          </w:tcPr>
          <w:p w14:paraId="179C5628" w14:textId="77777777" w:rsidR="006C60B5" w:rsidRDefault="006C60B5" w:rsidP="00A203E5">
            <w:pPr>
              <w:rPr>
                <w:bCs/>
                <w:sz w:val="16"/>
                <w:szCs w:val="16"/>
              </w:rPr>
            </w:pPr>
          </w:p>
        </w:tc>
        <w:tc>
          <w:tcPr>
            <w:tcW w:w="990" w:type="dxa"/>
          </w:tcPr>
          <w:p w14:paraId="63A20882" w14:textId="77777777" w:rsidR="006C60B5" w:rsidRDefault="006C60B5" w:rsidP="00A203E5">
            <w:pPr>
              <w:rPr>
                <w:bCs/>
                <w:sz w:val="16"/>
                <w:szCs w:val="16"/>
              </w:rPr>
            </w:pPr>
          </w:p>
          <w:p w14:paraId="5A2D441C" w14:textId="77777777" w:rsidR="006C60B5" w:rsidRDefault="006C60B5" w:rsidP="00A203E5">
            <w:pPr>
              <w:rPr>
                <w:bCs/>
                <w:sz w:val="16"/>
                <w:szCs w:val="16"/>
              </w:rPr>
            </w:pPr>
          </w:p>
        </w:tc>
        <w:tc>
          <w:tcPr>
            <w:tcW w:w="2250" w:type="dxa"/>
          </w:tcPr>
          <w:p w14:paraId="159ABAB2" w14:textId="77777777" w:rsidR="006C60B5" w:rsidRDefault="006C60B5" w:rsidP="00A203E5">
            <w:pPr>
              <w:rPr>
                <w:bCs/>
                <w:sz w:val="16"/>
                <w:szCs w:val="16"/>
              </w:rPr>
            </w:pPr>
          </w:p>
          <w:p w14:paraId="6BF8EDF1" w14:textId="77777777" w:rsidR="006C60B5" w:rsidRDefault="006C60B5" w:rsidP="00A203E5">
            <w:pPr>
              <w:rPr>
                <w:bCs/>
                <w:sz w:val="16"/>
                <w:szCs w:val="16"/>
              </w:rPr>
            </w:pPr>
          </w:p>
          <w:p w14:paraId="47CD27FE" w14:textId="77777777" w:rsidR="00ED6102" w:rsidRDefault="00ED6102" w:rsidP="00A203E5">
            <w:pPr>
              <w:rPr>
                <w:bCs/>
                <w:sz w:val="16"/>
                <w:szCs w:val="16"/>
              </w:rPr>
            </w:pPr>
          </w:p>
          <w:p w14:paraId="2484156A" w14:textId="77777777" w:rsidR="00ED6102" w:rsidRDefault="00ED6102" w:rsidP="00A203E5">
            <w:pPr>
              <w:rPr>
                <w:bCs/>
                <w:sz w:val="16"/>
                <w:szCs w:val="16"/>
              </w:rPr>
            </w:pPr>
          </w:p>
        </w:tc>
        <w:tc>
          <w:tcPr>
            <w:tcW w:w="2070" w:type="dxa"/>
          </w:tcPr>
          <w:p w14:paraId="7A364AB0" w14:textId="77777777" w:rsidR="006C60B5" w:rsidRDefault="006C60B5" w:rsidP="00A203E5">
            <w:pPr>
              <w:rPr>
                <w:bCs/>
                <w:sz w:val="16"/>
                <w:szCs w:val="16"/>
              </w:rPr>
            </w:pPr>
          </w:p>
          <w:p w14:paraId="0FDC3136" w14:textId="77777777" w:rsidR="006C60B5" w:rsidRDefault="006C60B5" w:rsidP="00A203E5">
            <w:pPr>
              <w:rPr>
                <w:bCs/>
                <w:sz w:val="16"/>
                <w:szCs w:val="16"/>
              </w:rPr>
            </w:pPr>
          </w:p>
        </w:tc>
        <w:tc>
          <w:tcPr>
            <w:tcW w:w="1080" w:type="dxa"/>
          </w:tcPr>
          <w:p w14:paraId="0D588E0E" w14:textId="77777777" w:rsidR="006C60B5" w:rsidRDefault="006C60B5" w:rsidP="00A203E5">
            <w:pPr>
              <w:rPr>
                <w:bCs/>
                <w:sz w:val="16"/>
                <w:szCs w:val="16"/>
              </w:rPr>
            </w:pPr>
          </w:p>
          <w:p w14:paraId="194E73B9" w14:textId="77777777" w:rsidR="006C60B5" w:rsidRDefault="006C60B5" w:rsidP="00A203E5">
            <w:pPr>
              <w:rPr>
                <w:bCs/>
                <w:sz w:val="16"/>
                <w:szCs w:val="16"/>
              </w:rPr>
            </w:pPr>
          </w:p>
        </w:tc>
        <w:tc>
          <w:tcPr>
            <w:tcW w:w="1260" w:type="dxa"/>
          </w:tcPr>
          <w:p w14:paraId="71BA425E" w14:textId="77777777" w:rsidR="006C60B5" w:rsidRDefault="006C60B5" w:rsidP="00A203E5">
            <w:pPr>
              <w:rPr>
                <w:bCs/>
                <w:sz w:val="16"/>
                <w:szCs w:val="16"/>
              </w:rPr>
            </w:pPr>
          </w:p>
          <w:p w14:paraId="1190F8E7" w14:textId="77777777" w:rsidR="006C60B5" w:rsidRDefault="006C60B5" w:rsidP="00A203E5">
            <w:pPr>
              <w:rPr>
                <w:bCs/>
                <w:sz w:val="16"/>
                <w:szCs w:val="16"/>
              </w:rPr>
            </w:pPr>
          </w:p>
        </w:tc>
      </w:tr>
      <w:tr w:rsidR="00ED6102" w:rsidRPr="00445D7F" w14:paraId="5CFB06CB" w14:textId="77777777" w:rsidTr="00FE242D">
        <w:trPr>
          <w:gridAfter w:val="1"/>
          <w:wAfter w:w="9720" w:type="dxa"/>
          <w:trHeight w:val="550"/>
        </w:trPr>
        <w:tc>
          <w:tcPr>
            <w:tcW w:w="540" w:type="dxa"/>
          </w:tcPr>
          <w:p w14:paraId="5AE11D80" w14:textId="77777777" w:rsidR="00ED6102" w:rsidRPr="00C938EB" w:rsidRDefault="00ED6102" w:rsidP="00A203E5">
            <w:pPr>
              <w:jc w:val="center"/>
              <w:rPr>
                <w:b/>
                <w:sz w:val="16"/>
                <w:szCs w:val="16"/>
              </w:rPr>
            </w:pPr>
          </w:p>
        </w:tc>
        <w:tc>
          <w:tcPr>
            <w:tcW w:w="2070" w:type="dxa"/>
          </w:tcPr>
          <w:p w14:paraId="0935A1AE" w14:textId="77777777" w:rsidR="00ED6102" w:rsidRDefault="00ED6102" w:rsidP="00A203E5">
            <w:pPr>
              <w:rPr>
                <w:bCs/>
                <w:sz w:val="16"/>
                <w:szCs w:val="16"/>
              </w:rPr>
            </w:pPr>
          </w:p>
        </w:tc>
        <w:tc>
          <w:tcPr>
            <w:tcW w:w="990" w:type="dxa"/>
          </w:tcPr>
          <w:p w14:paraId="6988378C" w14:textId="77777777" w:rsidR="00ED6102" w:rsidRDefault="00ED6102" w:rsidP="00A203E5">
            <w:pPr>
              <w:rPr>
                <w:bCs/>
                <w:sz w:val="16"/>
                <w:szCs w:val="16"/>
              </w:rPr>
            </w:pPr>
          </w:p>
        </w:tc>
        <w:tc>
          <w:tcPr>
            <w:tcW w:w="2250" w:type="dxa"/>
          </w:tcPr>
          <w:p w14:paraId="29C7DD90" w14:textId="77777777" w:rsidR="00ED6102" w:rsidRDefault="00ED6102" w:rsidP="00A203E5">
            <w:pPr>
              <w:rPr>
                <w:bCs/>
                <w:sz w:val="16"/>
                <w:szCs w:val="16"/>
              </w:rPr>
            </w:pPr>
          </w:p>
          <w:p w14:paraId="738B9FC5" w14:textId="77777777" w:rsidR="00ED6102" w:rsidRDefault="00ED6102" w:rsidP="00A203E5">
            <w:pPr>
              <w:rPr>
                <w:bCs/>
                <w:sz w:val="16"/>
                <w:szCs w:val="16"/>
              </w:rPr>
            </w:pPr>
          </w:p>
          <w:p w14:paraId="4E7D4D30" w14:textId="77777777" w:rsidR="00ED6102" w:rsidRDefault="00ED6102" w:rsidP="00A203E5">
            <w:pPr>
              <w:rPr>
                <w:bCs/>
                <w:sz w:val="16"/>
                <w:szCs w:val="16"/>
              </w:rPr>
            </w:pPr>
          </w:p>
          <w:p w14:paraId="380717C2" w14:textId="77777777" w:rsidR="00ED6102" w:rsidRDefault="00ED6102" w:rsidP="00A203E5">
            <w:pPr>
              <w:rPr>
                <w:bCs/>
                <w:sz w:val="16"/>
                <w:szCs w:val="16"/>
              </w:rPr>
            </w:pPr>
          </w:p>
        </w:tc>
        <w:tc>
          <w:tcPr>
            <w:tcW w:w="2070" w:type="dxa"/>
          </w:tcPr>
          <w:p w14:paraId="032747D8" w14:textId="77777777" w:rsidR="00ED6102" w:rsidRDefault="00ED6102" w:rsidP="00A203E5">
            <w:pPr>
              <w:rPr>
                <w:bCs/>
                <w:sz w:val="16"/>
                <w:szCs w:val="16"/>
              </w:rPr>
            </w:pPr>
          </w:p>
          <w:p w14:paraId="14FBDF32" w14:textId="77777777" w:rsidR="00222212" w:rsidRDefault="00222212" w:rsidP="00A203E5">
            <w:pPr>
              <w:rPr>
                <w:bCs/>
                <w:sz w:val="16"/>
                <w:szCs w:val="16"/>
              </w:rPr>
            </w:pPr>
          </w:p>
          <w:p w14:paraId="1DAE3DB6" w14:textId="77777777" w:rsidR="00222212" w:rsidRDefault="00222212" w:rsidP="00A203E5">
            <w:pPr>
              <w:rPr>
                <w:bCs/>
                <w:sz w:val="16"/>
                <w:szCs w:val="16"/>
              </w:rPr>
            </w:pPr>
          </w:p>
          <w:p w14:paraId="4082309B" w14:textId="77777777" w:rsidR="00222212" w:rsidRDefault="00222212" w:rsidP="00A203E5">
            <w:pPr>
              <w:rPr>
                <w:bCs/>
                <w:sz w:val="16"/>
                <w:szCs w:val="16"/>
              </w:rPr>
            </w:pPr>
          </w:p>
          <w:p w14:paraId="5D8F7AB5" w14:textId="77777777" w:rsidR="00222212" w:rsidRDefault="00222212" w:rsidP="00A203E5">
            <w:pPr>
              <w:rPr>
                <w:bCs/>
                <w:sz w:val="16"/>
                <w:szCs w:val="16"/>
              </w:rPr>
            </w:pPr>
          </w:p>
        </w:tc>
        <w:tc>
          <w:tcPr>
            <w:tcW w:w="1080" w:type="dxa"/>
          </w:tcPr>
          <w:p w14:paraId="646347C5" w14:textId="77777777" w:rsidR="00ED6102" w:rsidRDefault="00ED6102" w:rsidP="00A203E5">
            <w:pPr>
              <w:rPr>
                <w:bCs/>
                <w:sz w:val="16"/>
                <w:szCs w:val="16"/>
              </w:rPr>
            </w:pPr>
          </w:p>
        </w:tc>
        <w:tc>
          <w:tcPr>
            <w:tcW w:w="1260" w:type="dxa"/>
          </w:tcPr>
          <w:p w14:paraId="4FC53E7C" w14:textId="77777777" w:rsidR="00ED6102" w:rsidRDefault="00ED6102" w:rsidP="00A203E5">
            <w:pPr>
              <w:rPr>
                <w:bCs/>
                <w:sz w:val="16"/>
                <w:szCs w:val="16"/>
              </w:rPr>
            </w:pPr>
          </w:p>
        </w:tc>
      </w:tr>
      <w:tr w:rsidR="00B32F70" w:rsidRPr="006C60B5" w14:paraId="4C3AC1A6" w14:textId="77777777" w:rsidTr="00FE242D">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25407B3B" w14:textId="77777777" w:rsidR="00B32F70" w:rsidRPr="00E9213F" w:rsidRDefault="00B32F70" w:rsidP="00A203E5">
            <w:pPr>
              <w:jc w:val="center"/>
              <w:rPr>
                <w:b/>
                <w:bCs/>
                <w:sz w:val="20"/>
                <w:szCs w:val="20"/>
              </w:rPr>
            </w:pPr>
          </w:p>
          <w:p w14:paraId="35C445F9"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45BD3C7F"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07C6A237" w14:textId="77777777" w:rsidR="00B32F70" w:rsidRPr="00E9213F" w:rsidRDefault="00B32F70" w:rsidP="00A203E5">
            <w:pPr>
              <w:rPr>
                <w:b/>
                <w:bCs/>
                <w:sz w:val="20"/>
                <w:szCs w:val="20"/>
              </w:rPr>
            </w:pPr>
          </w:p>
          <w:p w14:paraId="6A49D5CB" w14:textId="77777777" w:rsidR="00B32F70" w:rsidRPr="00E9213F" w:rsidRDefault="00B32F70" w:rsidP="00A203E5">
            <w:pPr>
              <w:rPr>
                <w:b/>
                <w:bCs/>
                <w:sz w:val="20"/>
                <w:szCs w:val="20"/>
              </w:rPr>
            </w:pPr>
            <w:r w:rsidRPr="00E9213F">
              <w:rPr>
                <w:b/>
                <w:bCs/>
                <w:sz w:val="20"/>
                <w:szCs w:val="20"/>
              </w:rPr>
              <w:t xml:space="preserve">Annual </w:t>
            </w:r>
            <w:r w:rsidRPr="0047344A">
              <w:rPr>
                <w:b/>
                <w:bCs/>
                <w:sz w:val="20"/>
                <w:szCs w:val="20"/>
              </w:rPr>
              <w:t>Plan</w:t>
            </w:r>
            <w:r w:rsidR="008C0688">
              <w:rPr>
                <w:b/>
                <w:bCs/>
                <w:sz w:val="20"/>
                <w:szCs w:val="20"/>
              </w:rPr>
              <w:t xml:space="preserve"> Elements</w:t>
            </w:r>
          </w:p>
          <w:p w14:paraId="2D9BC755" w14:textId="77777777" w:rsidR="00B32F70" w:rsidRPr="00E9213F" w:rsidRDefault="00B32F70" w:rsidP="00A203E5">
            <w:pPr>
              <w:rPr>
                <w:b/>
                <w:bCs/>
                <w:sz w:val="20"/>
                <w:szCs w:val="20"/>
              </w:rPr>
            </w:pPr>
          </w:p>
        </w:tc>
      </w:tr>
      <w:tr w:rsidR="00B32F70" w14:paraId="25CD1D95" w14:textId="77777777" w:rsidTr="00FE242D">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0523D8DF" w14:textId="77777777" w:rsidR="00B32F70" w:rsidRDefault="00B32F70" w:rsidP="00A203E5">
            <w:pPr>
              <w:jc w:val="center"/>
              <w:rPr>
                <w:b/>
                <w:bCs/>
                <w:sz w:val="16"/>
                <w:szCs w:val="16"/>
              </w:rPr>
            </w:pPr>
          </w:p>
          <w:p w14:paraId="4B439523" w14:textId="77777777"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7ABD4D68" w14:textId="77777777" w:rsidR="00B32F70" w:rsidRPr="00B32F70" w:rsidRDefault="00B32F70" w:rsidP="00A203E5">
            <w:pPr>
              <w:rPr>
                <w:b/>
                <w:bCs/>
                <w:sz w:val="16"/>
                <w:szCs w:val="16"/>
              </w:rPr>
            </w:pPr>
          </w:p>
          <w:p w14:paraId="4B4F8BFC" w14:textId="77777777" w:rsidR="00B32F70" w:rsidRPr="00B32F70" w:rsidRDefault="00B32F70" w:rsidP="00A203E5">
            <w:pPr>
              <w:rPr>
                <w:b/>
                <w:bCs/>
                <w:sz w:val="16"/>
                <w:szCs w:val="16"/>
              </w:rPr>
            </w:pPr>
            <w:r w:rsidRPr="00B32F70">
              <w:rPr>
                <w:b/>
                <w:bCs/>
                <w:sz w:val="16"/>
                <w:szCs w:val="16"/>
              </w:rPr>
              <w:t xml:space="preserve">Revision of PHA Plan Elements.  </w:t>
            </w:r>
          </w:p>
          <w:p w14:paraId="45BA3077" w14:textId="77777777" w:rsidR="00B32F70" w:rsidRPr="00B32F70" w:rsidRDefault="00B32F70" w:rsidP="00A203E5">
            <w:pPr>
              <w:rPr>
                <w:b/>
                <w:bCs/>
                <w:sz w:val="16"/>
                <w:szCs w:val="16"/>
              </w:rPr>
            </w:pPr>
          </w:p>
          <w:p w14:paraId="12E230FB" w14:textId="77777777"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14:paraId="0A7DC84E" w14:textId="77777777" w:rsidR="00B32F70" w:rsidRPr="00BE5FE4" w:rsidRDefault="00B32F70" w:rsidP="00A203E5">
            <w:pPr>
              <w:rPr>
                <w:bCs/>
                <w:sz w:val="16"/>
                <w:szCs w:val="16"/>
              </w:rPr>
            </w:pPr>
          </w:p>
          <w:p w14:paraId="167A17E1" w14:textId="77777777" w:rsidR="00B32F70" w:rsidRPr="00BE5FE4" w:rsidRDefault="000F1838" w:rsidP="00A203E5">
            <w:pPr>
              <w:rPr>
                <w:bCs/>
                <w:sz w:val="16"/>
                <w:szCs w:val="16"/>
              </w:rPr>
            </w:pPr>
            <w:r>
              <w:rPr>
                <w:bCs/>
                <w:sz w:val="16"/>
                <w:szCs w:val="16"/>
              </w:rPr>
              <w:t xml:space="preserve">Y    N </w:t>
            </w:r>
          </w:p>
          <w:p w14:paraId="64F2C769" w14:textId="3A294D03" w:rsidR="00A61C34"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1A3686" w:rsidRPr="00BE5FE4">
              <w:rPr>
                <w:bCs/>
                <w:sz w:val="16"/>
                <w:szCs w:val="16"/>
              </w:rPr>
              <w:t xml:space="preserve">  </w:t>
            </w:r>
            <w:r w:rsidR="009C52B7">
              <w:rPr>
                <w:bCs/>
                <w:sz w:val="16"/>
                <w:szCs w:val="16"/>
              </w:rPr>
              <w:fldChar w:fldCharType="begin">
                <w:ffData>
                  <w:name w:val=""/>
                  <w:enabled/>
                  <w:calcOnExit w:val="0"/>
                  <w:checkBox>
                    <w:sizeAuto/>
                    <w:default w:val="1"/>
                  </w:checkBox>
                </w:ffData>
              </w:fldChar>
            </w:r>
            <w:r w:rsidR="009C52B7">
              <w:rPr>
                <w:bCs/>
                <w:sz w:val="16"/>
                <w:szCs w:val="16"/>
              </w:rPr>
              <w:instrText xml:space="preserve"> FORMCHECKBOX </w:instrText>
            </w:r>
            <w:r w:rsidR="00000000">
              <w:rPr>
                <w:bCs/>
                <w:sz w:val="16"/>
                <w:szCs w:val="16"/>
              </w:rPr>
            </w:r>
            <w:r w:rsidR="00000000">
              <w:rPr>
                <w:bCs/>
                <w:sz w:val="16"/>
                <w:szCs w:val="16"/>
              </w:rPr>
              <w:fldChar w:fldCharType="separate"/>
            </w:r>
            <w:r w:rsidR="009C52B7">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14:paraId="50D8FB95" w14:textId="573E2933" w:rsidR="001A3686" w:rsidRDefault="00FC554F" w:rsidP="001A3686">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1A3686"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1A3686" w:rsidRPr="00BE5FE4">
              <w:rPr>
                <w:bCs/>
                <w:sz w:val="16"/>
                <w:szCs w:val="16"/>
              </w:rPr>
              <w:t xml:space="preserve">  </w:t>
            </w:r>
            <w:proofErr w:type="spellStart"/>
            <w:r w:rsidR="00D921A2">
              <w:rPr>
                <w:bCs/>
                <w:sz w:val="16"/>
                <w:szCs w:val="16"/>
              </w:rPr>
              <w:t>Deconcentration</w:t>
            </w:r>
            <w:proofErr w:type="spellEnd"/>
            <w:r w:rsidR="00D921A2">
              <w:rPr>
                <w:bCs/>
                <w:sz w:val="16"/>
                <w:szCs w:val="16"/>
              </w:rPr>
              <w:t xml:space="preserve">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14:paraId="2F38674F" w14:textId="5C26FDC0" w:rsidR="0003413F" w:rsidRPr="00BE5FE4" w:rsidRDefault="007631EB" w:rsidP="0003413F">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Financial Resources.</w:t>
            </w:r>
            <w:r w:rsidR="0003413F">
              <w:rPr>
                <w:bCs/>
                <w:sz w:val="16"/>
                <w:szCs w:val="16"/>
              </w:rPr>
              <w:t xml:space="preserve"> </w:t>
            </w:r>
          </w:p>
          <w:p w14:paraId="21E015EC" w14:textId="7912BB30"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B62C95">
              <w:rPr>
                <w:bCs/>
                <w:sz w:val="16"/>
                <w:szCs w:val="16"/>
              </w:rPr>
              <w:fldChar w:fldCharType="begin">
                <w:ffData>
                  <w:name w:val=""/>
                  <w:enabled/>
                  <w:calcOnExit w:val="0"/>
                  <w:checkBox>
                    <w:sizeAuto/>
                    <w:default w:val="1"/>
                  </w:checkBox>
                </w:ffData>
              </w:fldChar>
            </w:r>
            <w:r w:rsidR="00B62C95">
              <w:rPr>
                <w:bCs/>
                <w:sz w:val="16"/>
                <w:szCs w:val="16"/>
              </w:rPr>
              <w:instrText xml:space="preserve"> FORMCHECKBOX </w:instrText>
            </w:r>
            <w:r w:rsidR="00000000">
              <w:rPr>
                <w:bCs/>
                <w:sz w:val="16"/>
                <w:szCs w:val="16"/>
              </w:rPr>
            </w:r>
            <w:r w:rsidR="00000000">
              <w:rPr>
                <w:bCs/>
                <w:sz w:val="16"/>
                <w:szCs w:val="16"/>
              </w:rPr>
              <w:fldChar w:fldCharType="separate"/>
            </w:r>
            <w:r w:rsidR="00B62C95">
              <w:rPr>
                <w:bCs/>
                <w:sz w:val="16"/>
                <w:szCs w:val="16"/>
              </w:rPr>
              <w:fldChar w:fldCharType="end"/>
            </w:r>
            <w:r w:rsidR="00B32F70" w:rsidRPr="00BE5FE4">
              <w:rPr>
                <w:bCs/>
                <w:sz w:val="16"/>
                <w:szCs w:val="16"/>
              </w:rPr>
              <w:t xml:space="preserve">  Rent Determination.  </w:t>
            </w:r>
          </w:p>
          <w:p w14:paraId="2CB5B881" w14:textId="74DC5885" w:rsidR="00056965" w:rsidRPr="00BE5FE4" w:rsidRDefault="00CF4217"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B32F70" w:rsidRPr="00BE5FE4">
              <w:rPr>
                <w:bCs/>
                <w:sz w:val="16"/>
                <w:szCs w:val="16"/>
              </w:rPr>
              <w:t xml:space="preserve">  Operation and Management.  </w:t>
            </w:r>
          </w:p>
          <w:p w14:paraId="5274086D" w14:textId="02A532C4"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B62C95">
              <w:rPr>
                <w:bCs/>
                <w:sz w:val="16"/>
                <w:szCs w:val="16"/>
              </w:rPr>
              <w:fldChar w:fldCharType="begin">
                <w:ffData>
                  <w:name w:val=""/>
                  <w:enabled/>
                  <w:calcOnExit w:val="0"/>
                  <w:checkBox>
                    <w:sizeAuto/>
                    <w:default w:val="1"/>
                  </w:checkBox>
                </w:ffData>
              </w:fldChar>
            </w:r>
            <w:r w:rsidR="00B62C95">
              <w:rPr>
                <w:bCs/>
                <w:sz w:val="16"/>
                <w:szCs w:val="16"/>
              </w:rPr>
              <w:instrText xml:space="preserve"> FORMCHECKBOX </w:instrText>
            </w:r>
            <w:r w:rsidR="00000000">
              <w:rPr>
                <w:bCs/>
                <w:sz w:val="16"/>
                <w:szCs w:val="16"/>
              </w:rPr>
            </w:r>
            <w:r w:rsidR="00000000">
              <w:rPr>
                <w:bCs/>
                <w:sz w:val="16"/>
                <w:szCs w:val="16"/>
              </w:rPr>
              <w:fldChar w:fldCharType="separate"/>
            </w:r>
            <w:r w:rsidR="00B62C95">
              <w:rPr>
                <w:bCs/>
                <w:sz w:val="16"/>
                <w:szCs w:val="16"/>
              </w:rPr>
              <w:fldChar w:fldCharType="end"/>
            </w:r>
            <w:r w:rsidR="00B32F70" w:rsidRPr="00BE5FE4">
              <w:rPr>
                <w:bCs/>
                <w:sz w:val="16"/>
                <w:szCs w:val="16"/>
              </w:rPr>
              <w:t xml:space="preserve">  Grievance Procedures.  </w:t>
            </w:r>
          </w:p>
          <w:p w14:paraId="48741616" w14:textId="468E888E"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B62C95">
              <w:rPr>
                <w:bCs/>
                <w:sz w:val="16"/>
                <w:szCs w:val="16"/>
              </w:rPr>
              <w:fldChar w:fldCharType="begin">
                <w:ffData>
                  <w:name w:val=""/>
                  <w:enabled/>
                  <w:calcOnExit w:val="0"/>
                  <w:checkBox>
                    <w:sizeAuto/>
                    <w:default w:val="1"/>
                  </w:checkBox>
                </w:ffData>
              </w:fldChar>
            </w:r>
            <w:r w:rsidR="00B62C95">
              <w:rPr>
                <w:bCs/>
                <w:sz w:val="16"/>
                <w:szCs w:val="16"/>
              </w:rPr>
              <w:instrText xml:space="preserve"> FORMCHECKBOX </w:instrText>
            </w:r>
            <w:r w:rsidR="00000000">
              <w:rPr>
                <w:bCs/>
                <w:sz w:val="16"/>
                <w:szCs w:val="16"/>
              </w:rPr>
            </w:r>
            <w:r w:rsidR="00000000">
              <w:rPr>
                <w:bCs/>
                <w:sz w:val="16"/>
                <w:szCs w:val="16"/>
              </w:rPr>
              <w:fldChar w:fldCharType="separate"/>
            </w:r>
            <w:r w:rsidR="00B62C95">
              <w:rPr>
                <w:bCs/>
                <w:sz w:val="16"/>
                <w:szCs w:val="16"/>
              </w:rPr>
              <w:fldChar w:fldCharType="end"/>
            </w:r>
            <w:r w:rsidR="00B32F70" w:rsidRPr="00BE5FE4">
              <w:rPr>
                <w:bCs/>
                <w:sz w:val="16"/>
                <w:szCs w:val="16"/>
              </w:rPr>
              <w:t xml:space="preserve">  Homeownership Programs.  </w:t>
            </w:r>
          </w:p>
          <w:p w14:paraId="288037B0" w14:textId="182FF752" w:rsidR="00263FB2" w:rsidRDefault="00B62C95" w:rsidP="00263FB2">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14:paraId="59E531C7" w14:textId="7749462D" w:rsidR="001A3686" w:rsidRPr="000B2633"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B62C95">
              <w:rPr>
                <w:smallCaps/>
                <w:sz w:val="16"/>
                <w:szCs w:val="16"/>
              </w:rPr>
              <w:fldChar w:fldCharType="begin">
                <w:ffData>
                  <w:name w:val=""/>
                  <w:enabled/>
                  <w:calcOnExit w:val="0"/>
                  <w:checkBox>
                    <w:sizeAuto/>
                    <w:default w:val="1"/>
                  </w:checkBox>
                </w:ffData>
              </w:fldChar>
            </w:r>
            <w:r w:rsidR="00B62C95">
              <w:rPr>
                <w:smallCaps/>
                <w:sz w:val="16"/>
                <w:szCs w:val="16"/>
              </w:rPr>
              <w:instrText xml:space="preserve"> FORMCHECKBOX </w:instrText>
            </w:r>
            <w:r w:rsidR="00000000">
              <w:rPr>
                <w:smallCaps/>
                <w:sz w:val="16"/>
                <w:szCs w:val="16"/>
              </w:rPr>
            </w:r>
            <w:r w:rsidR="00000000">
              <w:rPr>
                <w:smallCaps/>
                <w:sz w:val="16"/>
                <w:szCs w:val="16"/>
              </w:rPr>
              <w:fldChar w:fldCharType="separate"/>
            </w:r>
            <w:r w:rsidR="00B62C95">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14:paraId="48B38D23" w14:textId="4A39F0A7" w:rsidR="001A3686" w:rsidRDefault="00DB3D70" w:rsidP="001A3686">
            <w:pPr>
              <w:rPr>
                <w:bCs/>
                <w:sz w:val="16"/>
                <w:szCs w:val="16"/>
              </w:rPr>
            </w:pPr>
            <w:r w:rsidRPr="000B2633">
              <w:rPr>
                <w:smallCaps/>
                <w:sz w:val="16"/>
                <w:szCs w:val="16"/>
              </w:rPr>
              <w:fldChar w:fldCharType="begin">
                <w:ffData>
                  <w:name w:val=""/>
                  <w:enabled/>
                  <w:calcOnExit w:val="0"/>
                  <w:checkBox>
                    <w:sizeAuto/>
                    <w:default w:val="0"/>
                  </w:checkBox>
                </w:ffData>
              </w:fldChar>
            </w:r>
            <w:r w:rsidR="001A3686"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B62C95">
              <w:rPr>
                <w:smallCaps/>
                <w:sz w:val="16"/>
                <w:szCs w:val="16"/>
              </w:rPr>
              <w:fldChar w:fldCharType="begin">
                <w:ffData>
                  <w:name w:val=""/>
                  <w:enabled/>
                  <w:calcOnExit w:val="0"/>
                  <w:checkBox>
                    <w:sizeAuto/>
                    <w:default w:val="1"/>
                  </w:checkBox>
                </w:ffData>
              </w:fldChar>
            </w:r>
            <w:r w:rsidR="00B62C95">
              <w:rPr>
                <w:smallCaps/>
                <w:sz w:val="16"/>
                <w:szCs w:val="16"/>
              </w:rPr>
              <w:instrText xml:space="preserve"> FORMCHECKBOX </w:instrText>
            </w:r>
            <w:r w:rsidR="00000000">
              <w:rPr>
                <w:smallCaps/>
                <w:sz w:val="16"/>
                <w:szCs w:val="16"/>
              </w:rPr>
            </w:r>
            <w:r w:rsidR="00000000">
              <w:rPr>
                <w:smallCaps/>
                <w:sz w:val="16"/>
                <w:szCs w:val="16"/>
              </w:rPr>
              <w:fldChar w:fldCharType="separate"/>
            </w:r>
            <w:r w:rsidR="00B62C95">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14:paraId="2B3A5C7F" w14:textId="1E86A4C6" w:rsidR="001A3686" w:rsidRDefault="009C52B7" w:rsidP="001A3686">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1A3686" w:rsidRPr="000B2633">
              <w:rPr>
                <w:smallCaps/>
                <w:sz w:val="16"/>
                <w:szCs w:val="16"/>
              </w:rPr>
              <w:t xml:space="preserve">  </w:t>
            </w:r>
            <w:r w:rsidR="00DB3D70"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0B2633">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14:paraId="78FB3360" w14:textId="25F2A548"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CF4217">
              <w:rPr>
                <w:smallCaps/>
                <w:sz w:val="16"/>
                <w:szCs w:val="16"/>
              </w:rPr>
              <w:fldChar w:fldCharType="begin">
                <w:ffData>
                  <w:name w:val=""/>
                  <w:enabled/>
                  <w:calcOnExit w:val="0"/>
                  <w:checkBox>
                    <w:sizeAuto/>
                    <w:default w:val="1"/>
                  </w:checkBox>
                </w:ffData>
              </w:fldChar>
            </w:r>
            <w:r w:rsidR="00CF4217">
              <w:rPr>
                <w:smallCaps/>
                <w:sz w:val="16"/>
                <w:szCs w:val="16"/>
              </w:rPr>
              <w:instrText xml:space="preserve"> FORMCHECKBOX </w:instrText>
            </w:r>
            <w:r w:rsidR="00000000">
              <w:rPr>
                <w:smallCaps/>
                <w:sz w:val="16"/>
                <w:szCs w:val="16"/>
              </w:rPr>
            </w:r>
            <w:r w:rsidR="00000000">
              <w:rPr>
                <w:smallCaps/>
                <w:sz w:val="16"/>
                <w:szCs w:val="16"/>
              </w:rPr>
              <w:fldChar w:fldCharType="separate"/>
            </w:r>
            <w:r w:rsidR="00CF4217">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14:paraId="57EECF67" w14:textId="2192CD3F" w:rsidR="00263FB2" w:rsidRDefault="00371A5E" w:rsidP="00263FB2">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263FB2" w:rsidRPr="000B2633">
              <w:rPr>
                <w:smallCaps/>
                <w:sz w:val="16"/>
                <w:szCs w:val="16"/>
              </w:rPr>
              <w:t xml:space="preserve">  </w:t>
            </w: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263FB2" w:rsidRPr="000B2633">
              <w:rPr>
                <w:smallCaps/>
                <w:sz w:val="16"/>
                <w:szCs w:val="16"/>
              </w:rPr>
              <w:t xml:space="preserve">  </w:t>
            </w:r>
            <w:r w:rsidR="00263FB2">
              <w:rPr>
                <w:bCs/>
                <w:sz w:val="16"/>
                <w:szCs w:val="16"/>
              </w:rPr>
              <w:t xml:space="preserve">Significant Amendment/Modification  </w:t>
            </w:r>
          </w:p>
          <w:p w14:paraId="7F97810D" w14:textId="77777777" w:rsidR="00B32F70" w:rsidRPr="00BE5FE4" w:rsidRDefault="00B32F70" w:rsidP="00A203E5">
            <w:pPr>
              <w:rPr>
                <w:bCs/>
                <w:sz w:val="16"/>
                <w:szCs w:val="16"/>
              </w:rPr>
            </w:pPr>
          </w:p>
          <w:p w14:paraId="723EB95E" w14:textId="77777777" w:rsidR="00B32F70" w:rsidRPr="00BE5FE4" w:rsidRDefault="00B32F70" w:rsidP="00A203E5">
            <w:pPr>
              <w:rPr>
                <w:bCs/>
                <w:sz w:val="16"/>
                <w:szCs w:val="16"/>
              </w:rPr>
            </w:pPr>
          </w:p>
          <w:p w14:paraId="6B5A4FD8" w14:textId="16C63C1C" w:rsidR="00B32F70"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14:paraId="4DFCB8B1" w14:textId="734632D1" w:rsidR="00983E45" w:rsidRDefault="00983E45" w:rsidP="00A203E5">
            <w:pPr>
              <w:rPr>
                <w:bCs/>
                <w:sz w:val="16"/>
                <w:szCs w:val="16"/>
              </w:rPr>
            </w:pPr>
          </w:p>
          <w:p w14:paraId="671877EE" w14:textId="0DE196C6" w:rsidR="00983E45" w:rsidRPr="00983E45" w:rsidRDefault="00983E45" w:rsidP="00A203E5">
            <w:pPr>
              <w:rPr>
                <w:b/>
                <w:sz w:val="16"/>
                <w:szCs w:val="16"/>
                <w:u w:val="single"/>
              </w:rPr>
            </w:pPr>
            <w:proofErr w:type="spellStart"/>
            <w:r w:rsidRPr="00983E45">
              <w:rPr>
                <w:b/>
                <w:sz w:val="16"/>
                <w:szCs w:val="16"/>
                <w:u w:val="single"/>
              </w:rPr>
              <w:t>Deconcentration</w:t>
            </w:r>
            <w:proofErr w:type="spellEnd"/>
            <w:r w:rsidRPr="00983E45">
              <w:rPr>
                <w:b/>
                <w:sz w:val="16"/>
                <w:szCs w:val="16"/>
                <w:u w:val="single"/>
              </w:rPr>
              <w:t xml:space="preserve"> and Other Policies that Govern Eligibility, Selection and Admissions.</w:t>
            </w:r>
          </w:p>
          <w:p w14:paraId="2261E234" w14:textId="202FA82E" w:rsidR="00983E45" w:rsidRDefault="00983E45" w:rsidP="00A203E5">
            <w:pPr>
              <w:rPr>
                <w:bCs/>
                <w:sz w:val="16"/>
                <w:szCs w:val="16"/>
              </w:rPr>
            </w:pPr>
          </w:p>
          <w:p w14:paraId="358BA93B" w14:textId="4FF75EFF" w:rsidR="00171EE5" w:rsidRDefault="00983E45" w:rsidP="00A203E5">
            <w:pPr>
              <w:rPr>
                <w:bCs/>
                <w:sz w:val="16"/>
                <w:szCs w:val="16"/>
              </w:rPr>
            </w:pPr>
            <w:r>
              <w:rPr>
                <w:bCs/>
                <w:sz w:val="16"/>
                <w:szCs w:val="16"/>
              </w:rPr>
              <w:t>During 202</w:t>
            </w:r>
            <w:r w:rsidR="0070030D">
              <w:rPr>
                <w:bCs/>
                <w:sz w:val="16"/>
                <w:szCs w:val="16"/>
              </w:rPr>
              <w:t>0</w:t>
            </w:r>
            <w:r>
              <w:rPr>
                <w:bCs/>
                <w:sz w:val="16"/>
                <w:szCs w:val="16"/>
              </w:rPr>
              <w:t>, DCHA updated the eligibility chapter of its HCV Admin Plan to reflect several new preferences that were outlined in our successful response to HUD’s NOFA for Mainstream Vouchers.  The new preferences that were incorporated into our plan include current homelessness, institutionalization, risk of institutionalization, and those residing in Permanent Supportive Housing (PSH)</w:t>
            </w:r>
            <w:r w:rsidR="008D4053">
              <w:rPr>
                <w:bCs/>
                <w:sz w:val="16"/>
                <w:szCs w:val="16"/>
              </w:rPr>
              <w:t xml:space="preserve"> or Rapid Rehousing (RRH)</w:t>
            </w:r>
            <w:r>
              <w:rPr>
                <w:bCs/>
                <w:sz w:val="16"/>
                <w:szCs w:val="16"/>
              </w:rPr>
              <w:t>.  As required by the Mainstream Voucher rules, households who qualify for these vouchers must be on the PHA’s regular waiting list and are not drawn from a separate waiting list.  To comply with the preferences outlined here, DCHA did a limited opening of its waiting list in 2020 targeted specifically to households who met these preferences.</w:t>
            </w:r>
            <w:r w:rsidR="0070030D">
              <w:rPr>
                <w:bCs/>
                <w:sz w:val="16"/>
                <w:szCs w:val="16"/>
              </w:rPr>
              <w:t xml:space="preserve">  </w:t>
            </w:r>
          </w:p>
          <w:p w14:paraId="65A5E461" w14:textId="77777777" w:rsidR="00171EE5" w:rsidRDefault="00171EE5" w:rsidP="00A203E5">
            <w:pPr>
              <w:rPr>
                <w:bCs/>
                <w:sz w:val="16"/>
                <w:szCs w:val="16"/>
              </w:rPr>
            </w:pPr>
          </w:p>
          <w:p w14:paraId="6CB40AAC" w14:textId="4908AC95" w:rsidR="00983E45" w:rsidRDefault="0070030D" w:rsidP="00A203E5">
            <w:pPr>
              <w:rPr>
                <w:bCs/>
                <w:sz w:val="16"/>
                <w:szCs w:val="16"/>
              </w:rPr>
            </w:pPr>
            <w:r>
              <w:rPr>
                <w:bCs/>
                <w:sz w:val="16"/>
                <w:szCs w:val="16"/>
              </w:rPr>
              <w:t xml:space="preserve">In 2021, again updated the HCV Admin Plan </w:t>
            </w:r>
            <w:r w:rsidR="00171EE5">
              <w:rPr>
                <w:bCs/>
                <w:sz w:val="16"/>
                <w:szCs w:val="16"/>
              </w:rPr>
              <w:t>to</w:t>
            </w:r>
            <w:r>
              <w:rPr>
                <w:bCs/>
                <w:sz w:val="16"/>
                <w:szCs w:val="16"/>
              </w:rPr>
              <w:t xml:space="preserve"> increase the weighting </w:t>
            </w:r>
            <w:r w:rsidR="00171EE5">
              <w:rPr>
                <w:bCs/>
                <w:sz w:val="16"/>
                <w:szCs w:val="16"/>
              </w:rPr>
              <w:t xml:space="preserve">preference </w:t>
            </w:r>
            <w:r>
              <w:rPr>
                <w:bCs/>
                <w:sz w:val="16"/>
                <w:szCs w:val="16"/>
              </w:rPr>
              <w:t xml:space="preserve">of households residing in </w:t>
            </w:r>
            <w:r w:rsidR="00171EE5">
              <w:rPr>
                <w:bCs/>
                <w:sz w:val="16"/>
                <w:szCs w:val="16"/>
              </w:rPr>
              <w:t>rapid rehousing programs, as well as to inclu</w:t>
            </w:r>
            <w:r w:rsidR="008D4053">
              <w:rPr>
                <w:bCs/>
                <w:sz w:val="16"/>
                <w:szCs w:val="16"/>
              </w:rPr>
              <w:t>de a</w:t>
            </w:r>
            <w:r w:rsidR="008D4053" w:rsidRPr="008D4053">
              <w:rPr>
                <w:bCs/>
                <w:sz w:val="16"/>
                <w:szCs w:val="16"/>
              </w:rPr>
              <w:t xml:space="preserve"> preference </w:t>
            </w:r>
            <w:r w:rsidR="008D4053">
              <w:rPr>
                <w:bCs/>
                <w:sz w:val="16"/>
                <w:szCs w:val="16"/>
              </w:rPr>
              <w:t>for</w:t>
            </w:r>
            <w:r w:rsidR="008D4053" w:rsidRPr="008D4053">
              <w:rPr>
                <w:bCs/>
                <w:sz w:val="16"/>
                <w:szCs w:val="16"/>
              </w:rPr>
              <w:t xml:space="preserve"> any family that</w:t>
            </w:r>
            <w:r w:rsidR="008D4053">
              <w:rPr>
                <w:bCs/>
                <w:sz w:val="16"/>
                <w:szCs w:val="16"/>
              </w:rPr>
              <w:t xml:space="preserve"> </w:t>
            </w:r>
            <w:r w:rsidR="008D4053" w:rsidRPr="008D4053">
              <w:rPr>
                <w:bCs/>
                <w:sz w:val="16"/>
                <w:szCs w:val="16"/>
              </w:rPr>
              <w:t>due to health/safety concerns</w:t>
            </w:r>
            <w:r w:rsidR="008D4053">
              <w:rPr>
                <w:bCs/>
                <w:sz w:val="16"/>
                <w:szCs w:val="16"/>
              </w:rPr>
              <w:t xml:space="preserve"> </w:t>
            </w:r>
            <w:r w:rsidR="008D4053" w:rsidRPr="008D4053">
              <w:rPr>
                <w:bCs/>
                <w:sz w:val="16"/>
                <w:szCs w:val="16"/>
              </w:rPr>
              <w:t>was displaced or faces imminent displacement from Public</w:t>
            </w:r>
            <w:r w:rsidR="008D4053">
              <w:rPr>
                <w:bCs/>
                <w:sz w:val="16"/>
                <w:szCs w:val="16"/>
              </w:rPr>
              <w:t xml:space="preserve"> </w:t>
            </w:r>
            <w:r w:rsidR="008D4053" w:rsidRPr="008D4053">
              <w:rPr>
                <w:bCs/>
                <w:sz w:val="16"/>
                <w:szCs w:val="16"/>
              </w:rPr>
              <w:t>Housing</w:t>
            </w:r>
            <w:r w:rsidR="008D4053">
              <w:rPr>
                <w:bCs/>
                <w:sz w:val="16"/>
                <w:szCs w:val="16"/>
              </w:rPr>
              <w:t xml:space="preserve"> </w:t>
            </w:r>
            <w:r w:rsidR="008D4053" w:rsidRPr="008D4053">
              <w:rPr>
                <w:bCs/>
                <w:sz w:val="16"/>
                <w:szCs w:val="16"/>
              </w:rPr>
              <w:t>within</w:t>
            </w:r>
            <w:r w:rsidR="008D4053">
              <w:rPr>
                <w:bCs/>
                <w:sz w:val="16"/>
                <w:szCs w:val="16"/>
              </w:rPr>
              <w:t xml:space="preserve"> </w:t>
            </w:r>
            <w:r w:rsidR="008D4053" w:rsidRPr="008D4053">
              <w:rPr>
                <w:bCs/>
                <w:sz w:val="16"/>
                <w:szCs w:val="16"/>
              </w:rPr>
              <w:t>Dane County</w:t>
            </w:r>
            <w:r w:rsidR="008D4053">
              <w:rPr>
                <w:bCs/>
                <w:sz w:val="16"/>
                <w:szCs w:val="16"/>
              </w:rPr>
              <w:t>.  The HCV Admin Plan 2021 updates also</w:t>
            </w:r>
            <w:r w:rsidR="00CB035A">
              <w:rPr>
                <w:bCs/>
                <w:sz w:val="16"/>
                <w:szCs w:val="16"/>
              </w:rPr>
              <w:t xml:space="preserve"> </w:t>
            </w:r>
            <w:r w:rsidR="008D4053">
              <w:rPr>
                <w:bCs/>
                <w:sz w:val="16"/>
                <w:szCs w:val="16"/>
              </w:rPr>
              <w:t>include</w:t>
            </w:r>
            <w:r w:rsidR="00CB035A">
              <w:rPr>
                <w:bCs/>
                <w:sz w:val="16"/>
                <w:szCs w:val="16"/>
              </w:rPr>
              <w:t>d</w:t>
            </w:r>
            <w:r w:rsidR="008D4053">
              <w:rPr>
                <w:bCs/>
                <w:sz w:val="16"/>
                <w:szCs w:val="16"/>
              </w:rPr>
              <w:t xml:space="preserve"> a new section cover</w:t>
            </w:r>
            <w:r w:rsidR="00CB035A">
              <w:rPr>
                <w:bCs/>
                <w:sz w:val="16"/>
                <w:szCs w:val="16"/>
              </w:rPr>
              <w:t>ing our</w:t>
            </w:r>
            <w:r w:rsidR="008D4053">
              <w:rPr>
                <w:bCs/>
                <w:sz w:val="16"/>
                <w:szCs w:val="16"/>
              </w:rPr>
              <w:t xml:space="preserve"> Emergency Housing Vouchers (EHV)</w:t>
            </w:r>
            <w:r w:rsidR="00CB035A">
              <w:rPr>
                <w:bCs/>
                <w:sz w:val="16"/>
                <w:szCs w:val="16"/>
              </w:rPr>
              <w:t>, which have been leasing in 2022</w:t>
            </w:r>
            <w:r w:rsidR="008D4053">
              <w:rPr>
                <w:bCs/>
                <w:sz w:val="16"/>
                <w:szCs w:val="16"/>
              </w:rPr>
              <w:t>.</w:t>
            </w:r>
            <w:r w:rsidR="00710C88">
              <w:rPr>
                <w:bCs/>
                <w:sz w:val="16"/>
                <w:szCs w:val="16"/>
              </w:rPr>
              <w:t xml:space="preserve"> We will continue to refine the Administrative Plan in 202</w:t>
            </w:r>
            <w:r w:rsidR="00CB035A">
              <w:rPr>
                <w:bCs/>
                <w:sz w:val="16"/>
                <w:szCs w:val="16"/>
              </w:rPr>
              <w:t>3</w:t>
            </w:r>
            <w:r w:rsidR="00710C88">
              <w:rPr>
                <w:bCs/>
                <w:sz w:val="16"/>
                <w:szCs w:val="16"/>
              </w:rPr>
              <w:t xml:space="preserve"> as needed to accommodate any additional voucher programs or changes in preferences</w:t>
            </w:r>
            <w:r w:rsidR="00CB035A">
              <w:rPr>
                <w:bCs/>
                <w:sz w:val="16"/>
                <w:szCs w:val="16"/>
              </w:rPr>
              <w:t xml:space="preserve"> as we work to maintain and increase voucher utilization and lease our remaining inventory of Mainstream Vouchers.</w:t>
            </w:r>
            <w:r w:rsidR="006D31E8">
              <w:rPr>
                <w:bCs/>
                <w:sz w:val="16"/>
                <w:szCs w:val="16"/>
              </w:rPr>
              <w:t xml:space="preserve">  </w:t>
            </w:r>
          </w:p>
          <w:p w14:paraId="4B320CC6" w14:textId="77777777" w:rsidR="00873E9D" w:rsidRDefault="00873E9D" w:rsidP="00A203E5">
            <w:pPr>
              <w:rPr>
                <w:bCs/>
                <w:sz w:val="16"/>
                <w:szCs w:val="16"/>
              </w:rPr>
            </w:pPr>
          </w:p>
          <w:p w14:paraId="6D7B0AA9" w14:textId="7B993903" w:rsidR="009E27FA" w:rsidRPr="00CF4217" w:rsidRDefault="00CF4217" w:rsidP="00A203E5">
            <w:pPr>
              <w:rPr>
                <w:b/>
                <w:sz w:val="16"/>
                <w:szCs w:val="16"/>
                <w:u w:val="single"/>
              </w:rPr>
            </w:pPr>
            <w:r w:rsidRPr="00CF4217">
              <w:rPr>
                <w:b/>
                <w:sz w:val="16"/>
                <w:szCs w:val="16"/>
                <w:u w:val="single"/>
              </w:rPr>
              <w:t>Operation and Management</w:t>
            </w:r>
          </w:p>
          <w:p w14:paraId="0D2C67DD" w14:textId="77777777" w:rsidR="00CF4217" w:rsidRDefault="00CF4217" w:rsidP="00A203E5">
            <w:pPr>
              <w:rPr>
                <w:bCs/>
                <w:sz w:val="16"/>
                <w:szCs w:val="16"/>
              </w:rPr>
            </w:pPr>
          </w:p>
          <w:p w14:paraId="6441FDAD" w14:textId="77777777" w:rsidR="009D0468" w:rsidRDefault="00CF4217" w:rsidP="00A203E5">
            <w:pPr>
              <w:rPr>
                <w:bCs/>
                <w:sz w:val="16"/>
                <w:szCs w:val="16"/>
              </w:rPr>
            </w:pPr>
            <w:r>
              <w:rPr>
                <w:bCs/>
                <w:sz w:val="16"/>
                <w:szCs w:val="16"/>
              </w:rPr>
              <w:t xml:space="preserve">DCHA restructured the staffing of its accounting/finance function in 2020.  At the direction of the Board, when the part time accounting clerk retired in the </w:t>
            </w:r>
            <w:r w:rsidR="00873E9D">
              <w:rPr>
                <w:bCs/>
                <w:sz w:val="16"/>
                <w:szCs w:val="16"/>
              </w:rPr>
              <w:t xml:space="preserve">spring of 2020, DCHA made the decision to hire a full time Controller.  The Controller was hired in August 2020 and DCHA has been </w:t>
            </w:r>
            <w:r w:rsidR="00542586">
              <w:rPr>
                <w:bCs/>
                <w:sz w:val="16"/>
                <w:szCs w:val="16"/>
              </w:rPr>
              <w:t xml:space="preserve">continuously </w:t>
            </w:r>
            <w:r w:rsidR="00873E9D">
              <w:rPr>
                <w:bCs/>
                <w:sz w:val="16"/>
                <w:szCs w:val="16"/>
              </w:rPr>
              <w:t>working to rely less on outside contracted accounting services and manage most of its accounting and finance functions internall</w:t>
            </w:r>
            <w:r w:rsidR="00542586">
              <w:rPr>
                <w:bCs/>
                <w:sz w:val="16"/>
                <w:szCs w:val="16"/>
              </w:rPr>
              <w:t>y, this process has continued throughout 202</w:t>
            </w:r>
            <w:r w:rsidR="00CB035A">
              <w:rPr>
                <w:bCs/>
                <w:sz w:val="16"/>
                <w:szCs w:val="16"/>
              </w:rPr>
              <w:t>2, and virtually all accounting and finance functions are now done in house</w:t>
            </w:r>
            <w:r w:rsidR="00873E9D">
              <w:rPr>
                <w:bCs/>
                <w:sz w:val="16"/>
                <w:szCs w:val="16"/>
              </w:rPr>
              <w:t>.</w:t>
            </w:r>
            <w:r w:rsidR="008D4053">
              <w:rPr>
                <w:bCs/>
                <w:sz w:val="16"/>
                <w:szCs w:val="16"/>
              </w:rPr>
              <w:t xml:space="preserve">  </w:t>
            </w:r>
          </w:p>
          <w:p w14:paraId="6EA3C8CD" w14:textId="77777777" w:rsidR="009D0468" w:rsidRDefault="009D0468" w:rsidP="00A203E5">
            <w:pPr>
              <w:rPr>
                <w:bCs/>
                <w:sz w:val="16"/>
                <w:szCs w:val="16"/>
              </w:rPr>
            </w:pPr>
          </w:p>
          <w:p w14:paraId="58BC5CA5" w14:textId="71903984" w:rsidR="003209D8" w:rsidRDefault="008D4053" w:rsidP="00A203E5">
            <w:pPr>
              <w:rPr>
                <w:bCs/>
                <w:sz w:val="16"/>
                <w:szCs w:val="16"/>
              </w:rPr>
            </w:pPr>
            <w:r>
              <w:rPr>
                <w:bCs/>
                <w:sz w:val="16"/>
                <w:szCs w:val="16"/>
              </w:rPr>
              <w:t>DCHA has also added new members to our Finance Committee and Personnel Committees to bring a wider range of experiences and resources to the Authority and its Board of Commissioners</w:t>
            </w:r>
            <w:r w:rsidR="00CB035A">
              <w:rPr>
                <w:bCs/>
                <w:sz w:val="16"/>
                <w:szCs w:val="16"/>
              </w:rPr>
              <w:t xml:space="preserve"> and will continue efforts to draw upon skilled local </w:t>
            </w:r>
            <w:r w:rsidR="003209D8">
              <w:rPr>
                <w:bCs/>
                <w:sz w:val="16"/>
                <w:szCs w:val="16"/>
              </w:rPr>
              <w:t xml:space="preserve">resources to enhance our committees. </w:t>
            </w:r>
            <w:r w:rsidR="009D0468">
              <w:rPr>
                <w:bCs/>
                <w:sz w:val="16"/>
                <w:szCs w:val="16"/>
              </w:rPr>
              <w:t>All active Commissioners, and the DCHA Executive Director, have completed HUD’s Lead the Way training and this training will also be required of future Commissioners.</w:t>
            </w:r>
          </w:p>
          <w:p w14:paraId="3C1F1463" w14:textId="77777777" w:rsidR="00CF4217" w:rsidRDefault="00CF4217" w:rsidP="00A203E5">
            <w:pPr>
              <w:rPr>
                <w:bCs/>
                <w:sz w:val="16"/>
                <w:szCs w:val="16"/>
              </w:rPr>
            </w:pPr>
          </w:p>
          <w:p w14:paraId="2B15B02D" w14:textId="60664EF8" w:rsidR="00FB6C20" w:rsidRDefault="00FB6C20" w:rsidP="00A203E5">
            <w:pPr>
              <w:rPr>
                <w:bCs/>
                <w:sz w:val="16"/>
                <w:szCs w:val="16"/>
              </w:rPr>
            </w:pPr>
            <w:r>
              <w:rPr>
                <w:b/>
                <w:sz w:val="16"/>
                <w:szCs w:val="16"/>
                <w:u w:val="single"/>
              </w:rPr>
              <w:t>Community Service and Self-Sufficiency Programs</w:t>
            </w:r>
          </w:p>
          <w:p w14:paraId="4FF07462" w14:textId="56ADA9D8" w:rsidR="00FB6C20" w:rsidRDefault="00FB6C20" w:rsidP="00A203E5">
            <w:pPr>
              <w:rPr>
                <w:bCs/>
                <w:sz w:val="16"/>
                <w:szCs w:val="16"/>
              </w:rPr>
            </w:pPr>
          </w:p>
          <w:p w14:paraId="22F26CE2" w14:textId="77777777" w:rsidR="00723D76" w:rsidRDefault="00FB6C20" w:rsidP="00A203E5">
            <w:pPr>
              <w:rPr>
                <w:bCs/>
                <w:sz w:val="16"/>
                <w:szCs w:val="16"/>
              </w:rPr>
            </w:pPr>
            <w:r>
              <w:rPr>
                <w:bCs/>
                <w:sz w:val="16"/>
                <w:szCs w:val="16"/>
              </w:rPr>
              <w:t xml:space="preserve">In 2020 DCHA brought the staffing for our shared FSS program with the Madison CDA in-house with a full time FSS Coordinator joining the DCHA staff for the first time.  Previously, this work had contracted to a third party, the Community Action Coalition for South Central Wisconsin (CAC).  One of the primary reasons for making the decision to bring this staff into DCHA was the high amount of turnover experienced in the position when it was housed at CAC, which resulted in </w:t>
            </w:r>
            <w:r w:rsidR="00B87C49">
              <w:rPr>
                <w:bCs/>
                <w:sz w:val="16"/>
                <w:szCs w:val="16"/>
              </w:rPr>
              <w:t xml:space="preserve">inconsistent case management for our FSS participants </w:t>
            </w:r>
            <w:r w:rsidR="00E44C81">
              <w:rPr>
                <w:bCs/>
                <w:sz w:val="16"/>
                <w:szCs w:val="16"/>
              </w:rPr>
              <w:t xml:space="preserve">and did not maximize the effectiveness of the program.  </w:t>
            </w:r>
          </w:p>
          <w:p w14:paraId="6310D3A7" w14:textId="77777777" w:rsidR="00723D76" w:rsidRDefault="00723D76" w:rsidP="00A203E5">
            <w:pPr>
              <w:rPr>
                <w:bCs/>
                <w:sz w:val="16"/>
                <w:szCs w:val="16"/>
              </w:rPr>
            </w:pPr>
          </w:p>
          <w:p w14:paraId="2A80AEAA" w14:textId="77777777" w:rsidR="00723D76" w:rsidRDefault="00E44C81" w:rsidP="00A203E5">
            <w:pPr>
              <w:rPr>
                <w:bCs/>
                <w:sz w:val="16"/>
                <w:szCs w:val="16"/>
              </w:rPr>
            </w:pPr>
            <w:r>
              <w:rPr>
                <w:bCs/>
                <w:sz w:val="16"/>
                <w:szCs w:val="16"/>
              </w:rPr>
              <w:t xml:space="preserve">Our </w:t>
            </w:r>
            <w:r w:rsidR="003209D8">
              <w:rPr>
                <w:bCs/>
                <w:sz w:val="16"/>
                <w:szCs w:val="16"/>
              </w:rPr>
              <w:t xml:space="preserve">initial </w:t>
            </w:r>
            <w:r>
              <w:rPr>
                <w:bCs/>
                <w:sz w:val="16"/>
                <w:szCs w:val="16"/>
              </w:rPr>
              <w:t>FSS Coordinator was hired in February of 2020, shortly before our office closed to the public due to COVID-19, which</w:t>
            </w:r>
            <w:r w:rsidR="003209D8">
              <w:rPr>
                <w:bCs/>
                <w:sz w:val="16"/>
                <w:szCs w:val="16"/>
              </w:rPr>
              <w:t xml:space="preserve"> impacted our ability to grow the program.  We experienced turnover in this position in the fall of 2021 and a new FSS Coordinator was hired in December 2021</w:t>
            </w:r>
            <w:r>
              <w:rPr>
                <w:bCs/>
                <w:sz w:val="16"/>
                <w:szCs w:val="16"/>
              </w:rPr>
              <w:t xml:space="preserve">. </w:t>
            </w:r>
            <w:r w:rsidR="003209D8">
              <w:rPr>
                <w:bCs/>
                <w:sz w:val="16"/>
                <w:szCs w:val="16"/>
              </w:rPr>
              <w:t xml:space="preserve"> An</w:t>
            </w:r>
            <w:r>
              <w:rPr>
                <w:bCs/>
                <w:sz w:val="16"/>
                <w:szCs w:val="16"/>
              </w:rPr>
              <w:t xml:space="preserve"> updated Action Plan </w:t>
            </w:r>
            <w:r w:rsidR="00723D76">
              <w:rPr>
                <w:bCs/>
                <w:sz w:val="16"/>
                <w:szCs w:val="16"/>
              </w:rPr>
              <w:t xml:space="preserve">that was </w:t>
            </w:r>
            <w:r w:rsidR="000043BE">
              <w:rPr>
                <w:bCs/>
                <w:sz w:val="16"/>
                <w:szCs w:val="16"/>
              </w:rPr>
              <w:t xml:space="preserve">created </w:t>
            </w:r>
            <w:r>
              <w:rPr>
                <w:bCs/>
                <w:sz w:val="16"/>
                <w:szCs w:val="16"/>
              </w:rPr>
              <w:t xml:space="preserve">in conjunction with the Madison CDA, </w:t>
            </w:r>
            <w:r w:rsidR="000043BE">
              <w:rPr>
                <w:bCs/>
                <w:sz w:val="16"/>
                <w:szCs w:val="16"/>
              </w:rPr>
              <w:t xml:space="preserve">was approved by our Board in </w:t>
            </w:r>
            <w:r>
              <w:rPr>
                <w:bCs/>
                <w:sz w:val="16"/>
                <w:szCs w:val="16"/>
              </w:rPr>
              <w:t>2021</w:t>
            </w:r>
            <w:r w:rsidR="000043BE">
              <w:rPr>
                <w:bCs/>
                <w:sz w:val="16"/>
                <w:szCs w:val="16"/>
              </w:rPr>
              <w:t xml:space="preserve">, and another update to the Action Plan to conform to the </w:t>
            </w:r>
            <w:r w:rsidR="00723D76">
              <w:rPr>
                <w:bCs/>
                <w:sz w:val="16"/>
                <w:szCs w:val="16"/>
              </w:rPr>
              <w:t xml:space="preserve">new FSS rule has been drafted and is available for review and comment along with our 2023 annual plan.  </w:t>
            </w:r>
          </w:p>
          <w:p w14:paraId="5573F735" w14:textId="77777777" w:rsidR="00723D76" w:rsidRDefault="00723D76" w:rsidP="00A203E5">
            <w:pPr>
              <w:rPr>
                <w:bCs/>
                <w:sz w:val="16"/>
                <w:szCs w:val="16"/>
              </w:rPr>
            </w:pPr>
          </w:p>
          <w:p w14:paraId="5F599FEE" w14:textId="473B9B5A" w:rsidR="00FB6C20" w:rsidRDefault="00723D76" w:rsidP="00A203E5">
            <w:pPr>
              <w:rPr>
                <w:bCs/>
                <w:sz w:val="16"/>
                <w:szCs w:val="16"/>
              </w:rPr>
            </w:pPr>
            <w:r>
              <w:rPr>
                <w:bCs/>
                <w:sz w:val="16"/>
                <w:szCs w:val="16"/>
              </w:rPr>
              <w:t xml:space="preserve">Our goal </w:t>
            </w:r>
            <w:r w:rsidR="00E44C81">
              <w:rPr>
                <w:bCs/>
                <w:sz w:val="16"/>
                <w:szCs w:val="16"/>
              </w:rPr>
              <w:t xml:space="preserve">is to grow the program to at least 30 to </w:t>
            </w:r>
            <w:r>
              <w:rPr>
                <w:bCs/>
                <w:sz w:val="16"/>
                <w:szCs w:val="16"/>
              </w:rPr>
              <w:t>40</w:t>
            </w:r>
            <w:r w:rsidR="00E44C81">
              <w:rPr>
                <w:bCs/>
                <w:sz w:val="16"/>
                <w:szCs w:val="16"/>
              </w:rPr>
              <w:t xml:space="preserve"> participants between both agencies.</w:t>
            </w:r>
            <w:r w:rsidR="00535265">
              <w:rPr>
                <w:bCs/>
                <w:sz w:val="16"/>
                <w:szCs w:val="16"/>
              </w:rPr>
              <w:t xml:space="preserve">  As of August 20</w:t>
            </w:r>
            <w:r>
              <w:rPr>
                <w:bCs/>
                <w:sz w:val="16"/>
                <w:szCs w:val="16"/>
              </w:rPr>
              <w:t>2</w:t>
            </w:r>
            <w:r w:rsidR="00535265">
              <w:rPr>
                <w:bCs/>
                <w:sz w:val="16"/>
                <w:szCs w:val="16"/>
              </w:rPr>
              <w:t xml:space="preserve">2, </w:t>
            </w:r>
            <w:r>
              <w:rPr>
                <w:bCs/>
                <w:sz w:val="16"/>
                <w:szCs w:val="16"/>
              </w:rPr>
              <w:t>our joint program has approximately 30 participants</w:t>
            </w:r>
            <w:r w:rsidR="000A3144">
              <w:rPr>
                <w:bCs/>
                <w:sz w:val="16"/>
                <w:szCs w:val="16"/>
              </w:rPr>
              <w:t xml:space="preserve">, with some upcoming graduations and enrollment </w:t>
            </w:r>
            <w:r w:rsidR="00662A8C">
              <w:rPr>
                <w:bCs/>
                <w:sz w:val="16"/>
                <w:szCs w:val="16"/>
              </w:rPr>
              <w:t xml:space="preserve">paused until our updated plan is approved by HUD in accordance with </w:t>
            </w:r>
            <w:r w:rsidR="000A3144">
              <w:rPr>
                <w:bCs/>
                <w:sz w:val="16"/>
                <w:szCs w:val="16"/>
              </w:rPr>
              <w:t xml:space="preserve">the new </w:t>
            </w:r>
            <w:r w:rsidR="000A3144">
              <w:rPr>
                <w:bCs/>
                <w:sz w:val="16"/>
                <w:szCs w:val="16"/>
              </w:rPr>
              <w:lastRenderedPageBreak/>
              <w:t>FSS Rule.  We anticipate increased program participation to at least 35 participants by mid-year 2023</w:t>
            </w:r>
            <w:r w:rsidR="00535265">
              <w:rPr>
                <w:bCs/>
                <w:sz w:val="16"/>
                <w:szCs w:val="16"/>
              </w:rPr>
              <w:t>.  Expanding the Program Coordinating Committee (PCC) has also been a focus of our FSS program in 2021</w:t>
            </w:r>
            <w:r>
              <w:rPr>
                <w:bCs/>
                <w:sz w:val="16"/>
                <w:szCs w:val="16"/>
              </w:rPr>
              <w:t xml:space="preserve"> and 2022</w:t>
            </w:r>
            <w:r w:rsidR="00535265">
              <w:rPr>
                <w:bCs/>
                <w:sz w:val="16"/>
                <w:szCs w:val="16"/>
              </w:rPr>
              <w:t xml:space="preserve"> and these efforts to form broader partnerships will continue in 202</w:t>
            </w:r>
            <w:r>
              <w:rPr>
                <w:bCs/>
                <w:sz w:val="16"/>
                <w:szCs w:val="16"/>
              </w:rPr>
              <w:t>3</w:t>
            </w:r>
            <w:r w:rsidR="00535265">
              <w:rPr>
                <w:bCs/>
                <w:sz w:val="16"/>
                <w:szCs w:val="16"/>
              </w:rPr>
              <w:t>.</w:t>
            </w:r>
          </w:p>
          <w:p w14:paraId="7631BF82" w14:textId="28E529A5" w:rsidR="009C3C67" w:rsidRDefault="009C3C67" w:rsidP="00A203E5">
            <w:pPr>
              <w:rPr>
                <w:bCs/>
                <w:sz w:val="16"/>
                <w:szCs w:val="16"/>
              </w:rPr>
            </w:pPr>
          </w:p>
          <w:p w14:paraId="7A7B7302" w14:textId="3E05B4A2" w:rsidR="009C3C67" w:rsidRDefault="009C3C67" w:rsidP="00A203E5">
            <w:pPr>
              <w:rPr>
                <w:bCs/>
                <w:sz w:val="16"/>
                <w:szCs w:val="16"/>
              </w:rPr>
            </w:pPr>
            <w:r>
              <w:rPr>
                <w:b/>
                <w:sz w:val="16"/>
                <w:szCs w:val="16"/>
                <w:u w:val="single"/>
              </w:rPr>
              <w:t>Asset Management</w:t>
            </w:r>
          </w:p>
          <w:p w14:paraId="7BEF7E05" w14:textId="2DC2777C" w:rsidR="009C3C67" w:rsidRDefault="009C3C67" w:rsidP="00A203E5">
            <w:pPr>
              <w:rPr>
                <w:bCs/>
                <w:sz w:val="16"/>
                <w:szCs w:val="16"/>
              </w:rPr>
            </w:pPr>
          </w:p>
          <w:p w14:paraId="186E98A8" w14:textId="3E8666DA" w:rsidR="009C3C67" w:rsidRDefault="000A3144" w:rsidP="00A203E5">
            <w:pPr>
              <w:rPr>
                <w:bCs/>
                <w:sz w:val="16"/>
                <w:szCs w:val="16"/>
              </w:rPr>
            </w:pPr>
            <w:r>
              <w:rPr>
                <w:bCs/>
                <w:sz w:val="16"/>
                <w:szCs w:val="16"/>
              </w:rPr>
              <w:t>Since 2020</w:t>
            </w:r>
            <w:r w:rsidR="009C3C67">
              <w:rPr>
                <w:bCs/>
                <w:sz w:val="16"/>
                <w:szCs w:val="16"/>
              </w:rPr>
              <w:t xml:space="preserve">, DCHA began improving asset management practices and oversight of its owned real estate portfolio.  The following initiatives are underway </w:t>
            </w:r>
            <w:r w:rsidR="00542586">
              <w:rPr>
                <w:bCs/>
                <w:sz w:val="16"/>
                <w:szCs w:val="16"/>
              </w:rPr>
              <w:t>and will be continued in 202</w:t>
            </w:r>
            <w:r>
              <w:rPr>
                <w:bCs/>
                <w:sz w:val="16"/>
                <w:szCs w:val="16"/>
              </w:rPr>
              <w:t>3</w:t>
            </w:r>
            <w:r w:rsidR="009C3C67">
              <w:rPr>
                <w:bCs/>
                <w:sz w:val="16"/>
                <w:szCs w:val="16"/>
              </w:rPr>
              <w:t>.</w:t>
            </w:r>
          </w:p>
          <w:p w14:paraId="537CEF4D" w14:textId="123526C4" w:rsidR="009C3C67" w:rsidRDefault="009C3C67" w:rsidP="009C3C67">
            <w:pPr>
              <w:pStyle w:val="ListParagraph"/>
              <w:numPr>
                <w:ilvl w:val="0"/>
                <w:numId w:val="32"/>
              </w:numPr>
              <w:rPr>
                <w:bCs/>
                <w:sz w:val="16"/>
                <w:szCs w:val="16"/>
              </w:rPr>
            </w:pPr>
            <w:r>
              <w:rPr>
                <w:bCs/>
                <w:sz w:val="16"/>
                <w:szCs w:val="16"/>
              </w:rPr>
              <w:t>Better recordkeeping – a SharePoint site has been established with a master folder for each owned development</w:t>
            </w:r>
            <w:r w:rsidR="00542586">
              <w:rPr>
                <w:bCs/>
                <w:sz w:val="16"/>
                <w:szCs w:val="16"/>
              </w:rPr>
              <w:t xml:space="preserve"> and each multifamily loan in DCHA’s portfolio of loans.</w:t>
            </w:r>
          </w:p>
          <w:p w14:paraId="02A41896" w14:textId="3EDDE8EB" w:rsidR="009C3C67" w:rsidRDefault="009C3C67" w:rsidP="009C3C67">
            <w:pPr>
              <w:pStyle w:val="ListParagraph"/>
              <w:numPr>
                <w:ilvl w:val="0"/>
                <w:numId w:val="32"/>
              </w:numPr>
              <w:rPr>
                <w:bCs/>
                <w:sz w:val="16"/>
                <w:szCs w:val="16"/>
              </w:rPr>
            </w:pPr>
            <w:r>
              <w:rPr>
                <w:bCs/>
                <w:sz w:val="16"/>
                <w:szCs w:val="16"/>
              </w:rPr>
              <w:t>Better tracking of insurance costs – insurance had not been included as an operating cost on a project level prior to 2021</w:t>
            </w:r>
          </w:p>
          <w:p w14:paraId="79A514B1" w14:textId="66C69CA4" w:rsidR="009C3C67" w:rsidRDefault="009C3C67" w:rsidP="009C3C67">
            <w:pPr>
              <w:pStyle w:val="ListParagraph"/>
              <w:numPr>
                <w:ilvl w:val="0"/>
                <w:numId w:val="32"/>
              </w:numPr>
              <w:rPr>
                <w:bCs/>
                <w:sz w:val="16"/>
                <w:szCs w:val="16"/>
              </w:rPr>
            </w:pPr>
            <w:r>
              <w:rPr>
                <w:bCs/>
                <w:sz w:val="16"/>
                <w:szCs w:val="16"/>
              </w:rPr>
              <w:t xml:space="preserve">Assessment of physical condition of properties and </w:t>
            </w:r>
            <w:r w:rsidR="00035B4E">
              <w:rPr>
                <w:bCs/>
                <w:sz w:val="16"/>
                <w:szCs w:val="16"/>
              </w:rPr>
              <w:t xml:space="preserve">development of </w:t>
            </w:r>
            <w:r>
              <w:rPr>
                <w:bCs/>
                <w:sz w:val="16"/>
                <w:szCs w:val="16"/>
              </w:rPr>
              <w:t>strateg</w:t>
            </w:r>
            <w:r w:rsidR="00035B4E">
              <w:rPr>
                <w:bCs/>
                <w:sz w:val="16"/>
                <w:szCs w:val="16"/>
              </w:rPr>
              <w:t>ies</w:t>
            </w:r>
            <w:r>
              <w:rPr>
                <w:bCs/>
                <w:sz w:val="16"/>
                <w:szCs w:val="16"/>
              </w:rPr>
              <w:t xml:space="preserve"> to address</w:t>
            </w:r>
            <w:r w:rsidR="00035B4E">
              <w:rPr>
                <w:bCs/>
                <w:sz w:val="16"/>
                <w:szCs w:val="16"/>
              </w:rPr>
              <w:t xml:space="preserve"> and fund</w:t>
            </w:r>
            <w:r>
              <w:rPr>
                <w:bCs/>
                <w:sz w:val="16"/>
                <w:szCs w:val="16"/>
              </w:rPr>
              <w:t xml:space="preserve"> deferred maintenance</w:t>
            </w:r>
            <w:r w:rsidR="00035B4E">
              <w:rPr>
                <w:bCs/>
                <w:sz w:val="16"/>
                <w:szCs w:val="16"/>
              </w:rPr>
              <w:t>.</w:t>
            </w:r>
            <w:r w:rsidR="0070030D">
              <w:rPr>
                <w:bCs/>
                <w:sz w:val="16"/>
                <w:szCs w:val="16"/>
              </w:rPr>
              <w:t xml:space="preserve"> </w:t>
            </w:r>
            <w:r w:rsidR="000F2E09">
              <w:rPr>
                <w:bCs/>
                <w:sz w:val="16"/>
                <w:szCs w:val="16"/>
              </w:rPr>
              <w:t xml:space="preserve">We are using proceeds from </w:t>
            </w:r>
            <w:r w:rsidR="000A3144">
              <w:rPr>
                <w:bCs/>
                <w:sz w:val="16"/>
                <w:szCs w:val="16"/>
              </w:rPr>
              <w:t xml:space="preserve">refinancing </w:t>
            </w:r>
            <w:r w:rsidR="000F2E09">
              <w:rPr>
                <w:bCs/>
                <w:sz w:val="16"/>
                <w:szCs w:val="16"/>
              </w:rPr>
              <w:t>Belleville Senior</w:t>
            </w:r>
            <w:r w:rsidR="000A3144">
              <w:rPr>
                <w:bCs/>
                <w:sz w:val="16"/>
                <w:szCs w:val="16"/>
              </w:rPr>
              <w:t xml:space="preserve">, School Street Apartments, Mount Horeb Apartments, Bird Street Apartments, and </w:t>
            </w:r>
            <w:proofErr w:type="spellStart"/>
            <w:r w:rsidR="000A3144">
              <w:rPr>
                <w:bCs/>
                <w:sz w:val="16"/>
                <w:szCs w:val="16"/>
              </w:rPr>
              <w:t>Lothe</w:t>
            </w:r>
            <w:proofErr w:type="spellEnd"/>
            <w:r w:rsidR="000A3144">
              <w:rPr>
                <w:bCs/>
                <w:sz w:val="16"/>
                <w:szCs w:val="16"/>
              </w:rPr>
              <w:t xml:space="preserve"> Apartments </w:t>
            </w:r>
            <w:r w:rsidR="000F2E09">
              <w:rPr>
                <w:bCs/>
                <w:sz w:val="16"/>
                <w:szCs w:val="16"/>
              </w:rPr>
              <w:t xml:space="preserve">to fund capital improvements at </w:t>
            </w:r>
            <w:r w:rsidR="000A3144">
              <w:rPr>
                <w:bCs/>
                <w:sz w:val="16"/>
                <w:szCs w:val="16"/>
              </w:rPr>
              <w:t>those</w:t>
            </w:r>
            <w:r w:rsidR="000F2E09">
              <w:rPr>
                <w:bCs/>
                <w:sz w:val="16"/>
                <w:szCs w:val="16"/>
              </w:rPr>
              <w:t xml:space="preserve"> propert</w:t>
            </w:r>
            <w:r w:rsidR="000A3144">
              <w:rPr>
                <w:bCs/>
                <w:sz w:val="16"/>
                <w:szCs w:val="16"/>
              </w:rPr>
              <w:t>ies</w:t>
            </w:r>
            <w:r w:rsidR="000F2E09">
              <w:rPr>
                <w:bCs/>
                <w:sz w:val="16"/>
                <w:szCs w:val="16"/>
              </w:rPr>
              <w:t>.</w:t>
            </w:r>
            <w:r w:rsidR="000A3144">
              <w:rPr>
                <w:bCs/>
                <w:sz w:val="16"/>
                <w:szCs w:val="16"/>
              </w:rPr>
              <w:t xml:space="preserve">  Extra cash flow from Valley View Apartments is slated to provide for improvements at that property as well as at Riverview Apartments.</w:t>
            </w:r>
          </w:p>
          <w:p w14:paraId="39FE3145" w14:textId="604545A8" w:rsidR="009C3C67" w:rsidRDefault="00035B4E" w:rsidP="009C3C67">
            <w:pPr>
              <w:pStyle w:val="ListParagraph"/>
              <w:numPr>
                <w:ilvl w:val="0"/>
                <w:numId w:val="32"/>
              </w:numPr>
              <w:rPr>
                <w:bCs/>
                <w:sz w:val="16"/>
                <w:szCs w:val="16"/>
              </w:rPr>
            </w:pPr>
            <w:r>
              <w:rPr>
                <w:bCs/>
                <w:sz w:val="16"/>
                <w:szCs w:val="16"/>
              </w:rPr>
              <w:t xml:space="preserve">Pursuit of outside grants to facilitate property improvements, </w:t>
            </w:r>
            <w:r w:rsidR="00BD3C01">
              <w:rPr>
                <w:bCs/>
                <w:sz w:val="16"/>
                <w:szCs w:val="16"/>
              </w:rPr>
              <w:t>S</w:t>
            </w:r>
            <w:r>
              <w:rPr>
                <w:bCs/>
                <w:sz w:val="16"/>
                <w:szCs w:val="16"/>
              </w:rPr>
              <w:t>uccessful applications include WHEDA Foundation grant to help with roof replacement at Belleville Senior</w:t>
            </w:r>
            <w:r w:rsidR="00542586">
              <w:rPr>
                <w:bCs/>
                <w:sz w:val="16"/>
                <w:szCs w:val="16"/>
              </w:rPr>
              <w:t xml:space="preserve"> that was completed in 2021 and a</w:t>
            </w:r>
            <w:r>
              <w:rPr>
                <w:bCs/>
                <w:sz w:val="16"/>
                <w:szCs w:val="16"/>
              </w:rPr>
              <w:t xml:space="preserve"> WI DNR grant for portfolio-wide tree evaluation and replacement</w:t>
            </w:r>
            <w:r w:rsidR="00BD3C01">
              <w:rPr>
                <w:bCs/>
                <w:sz w:val="16"/>
                <w:szCs w:val="16"/>
              </w:rPr>
              <w:t xml:space="preserve"> that is underway.</w:t>
            </w:r>
          </w:p>
          <w:p w14:paraId="50CF538B" w14:textId="01AB2F68" w:rsidR="000F2E09" w:rsidRPr="000F2E09" w:rsidRDefault="00035B4E" w:rsidP="000F2E09">
            <w:pPr>
              <w:pStyle w:val="ListParagraph"/>
              <w:numPr>
                <w:ilvl w:val="0"/>
                <w:numId w:val="32"/>
              </w:numPr>
              <w:rPr>
                <w:bCs/>
                <w:sz w:val="16"/>
                <w:szCs w:val="16"/>
              </w:rPr>
            </w:pPr>
            <w:r>
              <w:rPr>
                <w:bCs/>
                <w:sz w:val="16"/>
                <w:szCs w:val="16"/>
              </w:rPr>
              <w:t>Active monitoring of RE tax assessments and PILOTs – appeal or renegotiate when appropriate.</w:t>
            </w:r>
            <w:r w:rsidR="0070030D">
              <w:rPr>
                <w:bCs/>
                <w:sz w:val="16"/>
                <w:szCs w:val="16"/>
              </w:rPr>
              <w:t xml:space="preserve">  Successful tax appeals were achieved in DCHR Verona (2020) and DCHR Stoughton (2021).</w:t>
            </w:r>
          </w:p>
          <w:p w14:paraId="054E9B50" w14:textId="6BB23E31" w:rsidR="00035B4E" w:rsidRDefault="00035B4E" w:rsidP="00035B4E">
            <w:pPr>
              <w:pStyle w:val="ListParagraph"/>
              <w:numPr>
                <w:ilvl w:val="0"/>
                <w:numId w:val="32"/>
              </w:numPr>
              <w:rPr>
                <w:bCs/>
                <w:sz w:val="16"/>
                <w:szCs w:val="16"/>
              </w:rPr>
            </w:pPr>
            <w:r>
              <w:rPr>
                <w:bCs/>
                <w:sz w:val="16"/>
                <w:szCs w:val="16"/>
              </w:rPr>
              <w:t>Created a real estate owned schedule that will be updated no less than annually to measure project performance</w:t>
            </w:r>
          </w:p>
          <w:p w14:paraId="5D494259" w14:textId="7E8B4A15" w:rsidR="00FB6C20" w:rsidRDefault="00035B4E" w:rsidP="00A203E5">
            <w:pPr>
              <w:pStyle w:val="ListParagraph"/>
              <w:numPr>
                <w:ilvl w:val="0"/>
                <w:numId w:val="32"/>
              </w:numPr>
              <w:rPr>
                <w:bCs/>
                <w:sz w:val="16"/>
                <w:szCs w:val="16"/>
              </w:rPr>
            </w:pPr>
            <w:r>
              <w:rPr>
                <w:bCs/>
                <w:sz w:val="16"/>
                <w:szCs w:val="16"/>
              </w:rPr>
              <w:t>Consider selling assets that are not helping DCHA meet its mission</w:t>
            </w:r>
            <w:r w:rsidR="000F2E09">
              <w:rPr>
                <w:bCs/>
                <w:sz w:val="16"/>
                <w:szCs w:val="16"/>
              </w:rPr>
              <w:t xml:space="preserve"> </w:t>
            </w:r>
            <w:r w:rsidR="008D4053">
              <w:rPr>
                <w:bCs/>
                <w:sz w:val="16"/>
                <w:szCs w:val="16"/>
              </w:rPr>
              <w:t>and/</w:t>
            </w:r>
            <w:r w:rsidR="000F2E09">
              <w:rPr>
                <w:bCs/>
                <w:sz w:val="16"/>
                <w:szCs w:val="16"/>
              </w:rPr>
              <w:t>or achieve sustainable operations.</w:t>
            </w:r>
          </w:p>
          <w:p w14:paraId="774B3F35" w14:textId="1EADF979" w:rsidR="00FC554F" w:rsidRPr="00035B4E" w:rsidRDefault="00FC554F" w:rsidP="00A203E5">
            <w:pPr>
              <w:pStyle w:val="ListParagraph"/>
              <w:numPr>
                <w:ilvl w:val="0"/>
                <w:numId w:val="32"/>
              </w:numPr>
              <w:rPr>
                <w:bCs/>
                <w:sz w:val="16"/>
                <w:szCs w:val="16"/>
              </w:rPr>
            </w:pPr>
            <w:r>
              <w:rPr>
                <w:bCs/>
                <w:sz w:val="16"/>
                <w:szCs w:val="16"/>
              </w:rPr>
              <w:t>Co</w:t>
            </w:r>
            <w:r w:rsidR="001F25F8">
              <w:rPr>
                <w:bCs/>
                <w:sz w:val="16"/>
                <w:szCs w:val="16"/>
              </w:rPr>
              <w:t>ntinue to move forward on</w:t>
            </w:r>
            <w:r>
              <w:rPr>
                <w:bCs/>
                <w:sz w:val="16"/>
                <w:szCs w:val="16"/>
              </w:rPr>
              <w:t xml:space="preserve"> our Public Housing repositioning</w:t>
            </w:r>
            <w:r w:rsidR="001F25F8">
              <w:rPr>
                <w:bCs/>
                <w:sz w:val="16"/>
                <w:szCs w:val="16"/>
              </w:rPr>
              <w:t xml:space="preserve"> initiative</w:t>
            </w:r>
            <w:r>
              <w:rPr>
                <w:bCs/>
                <w:sz w:val="16"/>
                <w:szCs w:val="16"/>
              </w:rPr>
              <w:t xml:space="preserve">, </w:t>
            </w:r>
            <w:r w:rsidR="006A3FAE">
              <w:rPr>
                <w:bCs/>
                <w:sz w:val="16"/>
                <w:szCs w:val="16"/>
              </w:rPr>
              <w:t xml:space="preserve">which includes </w:t>
            </w:r>
            <w:r>
              <w:rPr>
                <w:bCs/>
                <w:sz w:val="16"/>
                <w:szCs w:val="16"/>
              </w:rPr>
              <w:t xml:space="preserve">evaluating </w:t>
            </w:r>
            <w:r w:rsidR="00662A8C">
              <w:rPr>
                <w:bCs/>
                <w:sz w:val="16"/>
                <w:szCs w:val="16"/>
              </w:rPr>
              <w:t xml:space="preserve">and improving </w:t>
            </w:r>
            <w:r>
              <w:rPr>
                <w:bCs/>
                <w:sz w:val="16"/>
                <w:szCs w:val="16"/>
              </w:rPr>
              <w:t xml:space="preserve">unit condition and potentially selling some units that may not pass HQS inspections.  </w:t>
            </w:r>
            <w:r w:rsidR="00662A8C">
              <w:rPr>
                <w:bCs/>
                <w:sz w:val="16"/>
                <w:szCs w:val="16"/>
              </w:rPr>
              <w:t>We will also a</w:t>
            </w:r>
            <w:r>
              <w:rPr>
                <w:bCs/>
                <w:sz w:val="16"/>
                <w:szCs w:val="16"/>
              </w:rPr>
              <w:t>ssess income qualification of existing public housing tenants as part of this process as well.</w:t>
            </w:r>
            <w:r w:rsidR="000F2E09">
              <w:rPr>
                <w:bCs/>
                <w:sz w:val="16"/>
                <w:szCs w:val="16"/>
              </w:rPr>
              <w:t xml:space="preserve">  This initiative has been delayed due to COVID-19; however, a Capital Needs Assessment inspection was completed in July 2021, and the process is moving forward</w:t>
            </w:r>
            <w:r w:rsidR="009D0468">
              <w:rPr>
                <w:bCs/>
                <w:sz w:val="16"/>
                <w:szCs w:val="16"/>
              </w:rPr>
              <w:t xml:space="preserve"> though at a slower pace than originally planned</w:t>
            </w:r>
            <w:r w:rsidR="000F2E09">
              <w:rPr>
                <w:bCs/>
                <w:sz w:val="16"/>
                <w:szCs w:val="16"/>
              </w:rPr>
              <w:t>.   DCHA will evaluate both the Section 18 repositioning</w:t>
            </w:r>
            <w:r w:rsidR="00297023">
              <w:rPr>
                <w:bCs/>
                <w:sz w:val="16"/>
                <w:szCs w:val="16"/>
              </w:rPr>
              <w:t xml:space="preserve"> and the Section 18/RAD blend strategies</w:t>
            </w:r>
            <w:r w:rsidR="000F2E09">
              <w:rPr>
                <w:bCs/>
                <w:sz w:val="16"/>
                <w:szCs w:val="16"/>
              </w:rPr>
              <w:t xml:space="preserve"> available through HUD to ensure that</w:t>
            </w:r>
            <w:r w:rsidR="00297023">
              <w:rPr>
                <w:bCs/>
                <w:sz w:val="16"/>
                <w:szCs w:val="16"/>
              </w:rPr>
              <w:t xml:space="preserve"> we end up with the best possible outcome.</w:t>
            </w:r>
          </w:p>
          <w:p w14:paraId="3F5FD8E2" w14:textId="1BCC808D" w:rsidR="008056E2" w:rsidRDefault="008056E2" w:rsidP="00A203E5">
            <w:pPr>
              <w:rPr>
                <w:bCs/>
                <w:sz w:val="16"/>
                <w:szCs w:val="16"/>
              </w:rPr>
            </w:pPr>
          </w:p>
          <w:p w14:paraId="4C9C43A9" w14:textId="11AE0FBE" w:rsidR="00623B2F" w:rsidRDefault="00623B2F" w:rsidP="00623B2F">
            <w:pPr>
              <w:rPr>
                <w:b/>
                <w:sz w:val="16"/>
                <w:szCs w:val="16"/>
                <w:u w:val="single"/>
              </w:rPr>
            </w:pPr>
            <w:r w:rsidRPr="0056445E">
              <w:rPr>
                <w:b/>
                <w:sz w:val="16"/>
                <w:szCs w:val="16"/>
                <w:u w:val="single"/>
              </w:rPr>
              <w:t>Significant Amendment/Modification</w:t>
            </w:r>
          </w:p>
          <w:p w14:paraId="5D9EA857" w14:textId="2AACF3EA" w:rsidR="00DD7493" w:rsidRDefault="00DD7493" w:rsidP="00623B2F">
            <w:pPr>
              <w:rPr>
                <w:b/>
                <w:sz w:val="16"/>
                <w:szCs w:val="16"/>
                <w:u w:val="single"/>
              </w:rPr>
            </w:pPr>
          </w:p>
          <w:p w14:paraId="48161779" w14:textId="55D768DE" w:rsidR="00DD7493" w:rsidRDefault="008F4E9F" w:rsidP="00623B2F">
            <w:pPr>
              <w:rPr>
                <w:bCs/>
                <w:sz w:val="16"/>
                <w:szCs w:val="16"/>
              </w:rPr>
            </w:pPr>
            <w:r>
              <w:rPr>
                <w:bCs/>
                <w:sz w:val="16"/>
                <w:szCs w:val="16"/>
              </w:rPr>
              <w:t>A proposed demolition, disposition,</w:t>
            </w:r>
            <w:r w:rsidR="00843BD7">
              <w:rPr>
                <w:bCs/>
                <w:sz w:val="16"/>
                <w:szCs w:val="16"/>
              </w:rPr>
              <w:t xml:space="preserve"> creation of a homeownership program, capital fund financing</w:t>
            </w:r>
            <w:r>
              <w:rPr>
                <w:bCs/>
                <w:sz w:val="16"/>
                <w:szCs w:val="16"/>
              </w:rPr>
              <w:t>, development</w:t>
            </w:r>
            <w:r w:rsidR="00843BD7">
              <w:rPr>
                <w:bCs/>
                <w:sz w:val="16"/>
                <w:szCs w:val="16"/>
              </w:rPr>
              <w:t xml:space="preserve"> activity, </w:t>
            </w:r>
            <w:r>
              <w:rPr>
                <w:bCs/>
                <w:sz w:val="16"/>
                <w:szCs w:val="16"/>
              </w:rPr>
              <w:t>mixed finance proposal</w:t>
            </w:r>
            <w:r w:rsidR="00843BD7">
              <w:rPr>
                <w:bCs/>
                <w:sz w:val="16"/>
                <w:szCs w:val="16"/>
              </w:rPr>
              <w:t>, additional sources of capital for repairs/renovations outside of Capital Fund Grants, and repositioning activity</w:t>
            </w:r>
            <w:r>
              <w:rPr>
                <w:bCs/>
                <w:sz w:val="16"/>
                <w:szCs w:val="16"/>
              </w:rPr>
              <w:t xml:space="preserve"> is considered a significant amendment to the HUD Capital Five-Year Action Plan, and DCHA’s potential repositioning of the public housing</w:t>
            </w:r>
            <w:r w:rsidR="00843BD7">
              <w:rPr>
                <w:bCs/>
                <w:sz w:val="16"/>
                <w:szCs w:val="16"/>
              </w:rPr>
              <w:t xml:space="preserve">, as well as the additional $2.5M in grant funds for public housing repairs and renovation </w:t>
            </w:r>
            <w:r>
              <w:rPr>
                <w:bCs/>
                <w:sz w:val="16"/>
                <w:szCs w:val="16"/>
              </w:rPr>
              <w:t>would fall under this category.</w:t>
            </w:r>
          </w:p>
          <w:p w14:paraId="0F983591" w14:textId="5D4BB24C" w:rsidR="00716378" w:rsidRDefault="00716378" w:rsidP="00623B2F">
            <w:pPr>
              <w:rPr>
                <w:bCs/>
                <w:sz w:val="16"/>
                <w:szCs w:val="16"/>
              </w:rPr>
            </w:pPr>
          </w:p>
          <w:p w14:paraId="3C03F769" w14:textId="2D333369" w:rsidR="00716378" w:rsidRDefault="00716378" w:rsidP="00623B2F">
            <w:pPr>
              <w:rPr>
                <w:bCs/>
                <w:sz w:val="16"/>
                <w:szCs w:val="16"/>
              </w:rPr>
            </w:pPr>
            <w:r>
              <w:rPr>
                <w:bCs/>
                <w:sz w:val="16"/>
                <w:szCs w:val="16"/>
              </w:rPr>
              <w:t xml:space="preserve">The revised FSS Action Plan required by the changes to HUD’s FSS rule will have a significant impact on the operation of the DCHA/CDA FSS program, and this updated Action plan is also considered to be a significant amendment of </w:t>
            </w:r>
            <w:r w:rsidR="00E12E86">
              <w:rPr>
                <w:bCs/>
                <w:sz w:val="16"/>
                <w:szCs w:val="16"/>
              </w:rPr>
              <w:t>our five-year and annual plans.</w:t>
            </w:r>
          </w:p>
          <w:p w14:paraId="0F6C632A" w14:textId="4C24EFBD" w:rsidR="00623B2F" w:rsidRDefault="00623B2F" w:rsidP="00A203E5">
            <w:pPr>
              <w:rPr>
                <w:bCs/>
                <w:sz w:val="16"/>
                <w:szCs w:val="16"/>
              </w:rPr>
            </w:pPr>
          </w:p>
          <w:p w14:paraId="400E0951" w14:textId="77777777" w:rsidR="00623B2F" w:rsidRPr="00BE5FE4" w:rsidRDefault="00623B2F" w:rsidP="00A203E5">
            <w:pPr>
              <w:rPr>
                <w:bCs/>
                <w:sz w:val="16"/>
                <w:szCs w:val="16"/>
              </w:rPr>
            </w:pPr>
          </w:p>
          <w:p w14:paraId="01291A4B" w14:textId="6947D70E" w:rsidR="00B32F70" w:rsidRPr="00F9610D" w:rsidRDefault="001A3686" w:rsidP="00A203E5">
            <w:pPr>
              <w:rPr>
                <w:bCs/>
                <w:sz w:val="16"/>
                <w:szCs w:val="16"/>
              </w:rPr>
            </w:pPr>
            <w:r w:rsidRPr="00F9610D">
              <w:rPr>
                <w:bCs/>
                <w:sz w:val="16"/>
                <w:szCs w:val="16"/>
              </w:rPr>
              <w:t xml:space="preserve">The PHA must submit its </w:t>
            </w:r>
            <w:proofErr w:type="spellStart"/>
            <w:r w:rsidRPr="00F9610D">
              <w:rPr>
                <w:bCs/>
                <w:sz w:val="16"/>
                <w:szCs w:val="16"/>
              </w:rPr>
              <w:t>Deconcentration</w:t>
            </w:r>
            <w:proofErr w:type="spellEnd"/>
            <w:r w:rsidRPr="00F9610D">
              <w:rPr>
                <w:bCs/>
                <w:sz w:val="16"/>
                <w:szCs w:val="16"/>
              </w:rPr>
              <w:t xml:space="preserve"> P</w:t>
            </w:r>
            <w:r w:rsidR="00543BA4" w:rsidRPr="00F9610D">
              <w:rPr>
                <w:bCs/>
                <w:sz w:val="16"/>
                <w:szCs w:val="16"/>
              </w:rPr>
              <w:t>olicy</w:t>
            </w:r>
            <w:r w:rsidRPr="00F9610D">
              <w:rPr>
                <w:bCs/>
                <w:sz w:val="16"/>
                <w:szCs w:val="16"/>
              </w:rPr>
              <w:t xml:space="preserve"> for Field Office review. </w:t>
            </w:r>
          </w:p>
          <w:p w14:paraId="461A06BC" w14:textId="6F814092" w:rsidR="008056E2" w:rsidRPr="00F9610D" w:rsidRDefault="008056E2" w:rsidP="00A203E5">
            <w:pPr>
              <w:rPr>
                <w:bCs/>
                <w:sz w:val="16"/>
                <w:szCs w:val="16"/>
              </w:rPr>
            </w:pPr>
          </w:p>
          <w:p w14:paraId="5C598227" w14:textId="5998C1C9" w:rsidR="00F9610D" w:rsidRPr="00F9610D" w:rsidRDefault="00F9610D" w:rsidP="00F9610D">
            <w:pPr>
              <w:pStyle w:val="TableParagraph"/>
              <w:ind w:left="132"/>
              <w:rPr>
                <w:sz w:val="16"/>
                <w:szCs w:val="16"/>
              </w:rPr>
            </w:pPr>
            <w:r w:rsidRPr="00F9610D">
              <w:rPr>
                <w:color w:val="232323"/>
                <w:w w:val="105"/>
                <w:sz w:val="16"/>
                <w:szCs w:val="16"/>
              </w:rPr>
              <w:t xml:space="preserve">Per the </w:t>
            </w:r>
            <w:r>
              <w:rPr>
                <w:color w:val="232323"/>
                <w:w w:val="105"/>
                <w:sz w:val="16"/>
                <w:szCs w:val="16"/>
              </w:rPr>
              <w:t>D</w:t>
            </w:r>
            <w:r w:rsidRPr="00F9610D">
              <w:rPr>
                <w:color w:val="232323"/>
                <w:w w:val="105"/>
                <w:sz w:val="16"/>
                <w:szCs w:val="16"/>
              </w:rPr>
              <w:t>CHA Administrative Plan the</w:t>
            </w:r>
            <w:r>
              <w:rPr>
                <w:color w:val="232323"/>
                <w:w w:val="105"/>
                <w:sz w:val="16"/>
                <w:szCs w:val="16"/>
              </w:rPr>
              <w:t xml:space="preserve"> Authority</w:t>
            </w:r>
            <w:r w:rsidRPr="00F9610D">
              <w:rPr>
                <w:color w:val="232323"/>
                <w:w w:val="105"/>
                <w:sz w:val="16"/>
                <w:szCs w:val="16"/>
              </w:rPr>
              <w:t xml:space="preserve"> will attempt to </w:t>
            </w:r>
            <w:proofErr w:type="spellStart"/>
            <w:r w:rsidRPr="00F9610D">
              <w:rPr>
                <w:color w:val="232323"/>
                <w:w w:val="105"/>
                <w:sz w:val="16"/>
                <w:szCs w:val="16"/>
              </w:rPr>
              <w:t>deconcentate</w:t>
            </w:r>
            <w:proofErr w:type="spellEnd"/>
            <w:r w:rsidRPr="00F9610D">
              <w:rPr>
                <w:color w:val="232323"/>
                <w:w w:val="105"/>
                <w:sz w:val="16"/>
                <w:szCs w:val="16"/>
              </w:rPr>
              <w:t xml:space="preserve"> low</w:t>
            </w:r>
            <w:r>
              <w:rPr>
                <w:color w:val="232323"/>
                <w:w w:val="105"/>
                <w:sz w:val="16"/>
                <w:szCs w:val="16"/>
              </w:rPr>
              <w:t>-</w:t>
            </w:r>
            <w:r w:rsidRPr="00F9610D">
              <w:rPr>
                <w:color w:val="232323"/>
                <w:w w:val="105"/>
                <w:sz w:val="16"/>
                <w:szCs w:val="16"/>
              </w:rPr>
              <w:t>income housing through the following</w:t>
            </w:r>
            <w:r>
              <w:rPr>
                <w:color w:val="232323"/>
                <w:w w:val="105"/>
                <w:sz w:val="16"/>
                <w:szCs w:val="16"/>
              </w:rPr>
              <w:t xml:space="preserve"> strategies</w:t>
            </w:r>
            <w:r w:rsidRPr="00F9610D">
              <w:rPr>
                <w:color w:val="4D4D4D"/>
                <w:w w:val="105"/>
                <w:sz w:val="16"/>
                <w:szCs w:val="16"/>
              </w:rPr>
              <w:t>:</w:t>
            </w:r>
          </w:p>
          <w:p w14:paraId="4EF49E56" w14:textId="2E98178E" w:rsidR="00F9610D" w:rsidRPr="00E14C3A" w:rsidRDefault="00F9610D" w:rsidP="00623B2F">
            <w:pPr>
              <w:pStyle w:val="TableParagraph"/>
              <w:rPr>
                <w:sz w:val="16"/>
                <w:szCs w:val="16"/>
              </w:rPr>
            </w:pPr>
          </w:p>
          <w:p w14:paraId="196B16CC" w14:textId="28C7F922" w:rsidR="00F9610D" w:rsidRPr="00E14C3A" w:rsidRDefault="00F9610D" w:rsidP="00512287">
            <w:pPr>
              <w:pStyle w:val="TableParagraph"/>
              <w:numPr>
                <w:ilvl w:val="0"/>
                <w:numId w:val="35"/>
              </w:numPr>
              <w:tabs>
                <w:tab w:val="left" w:pos="186"/>
              </w:tabs>
              <w:spacing w:before="10" w:line="261" w:lineRule="auto"/>
              <w:ind w:right="335"/>
              <w:rPr>
                <w:sz w:val="16"/>
                <w:szCs w:val="16"/>
              </w:rPr>
            </w:pPr>
            <w:r w:rsidRPr="00E14C3A">
              <w:rPr>
                <w:color w:val="232323"/>
                <w:w w:val="105"/>
                <w:sz w:val="16"/>
                <w:szCs w:val="16"/>
              </w:rPr>
              <w:t>Briefing packet will include a list of landlords or other parties willing to lease to assisted families or help families find units</w:t>
            </w:r>
            <w:r w:rsidRPr="00E14C3A">
              <w:rPr>
                <w:color w:val="3D3D3D"/>
                <w:w w:val="105"/>
                <w:sz w:val="16"/>
                <w:szCs w:val="16"/>
              </w:rPr>
              <w:t xml:space="preserve">, </w:t>
            </w:r>
            <w:r w:rsidRPr="00E14C3A">
              <w:rPr>
                <w:color w:val="232323"/>
                <w:w w:val="105"/>
                <w:sz w:val="16"/>
                <w:szCs w:val="16"/>
              </w:rPr>
              <w:t>especially outside areas of concentrated poverty.</w:t>
            </w:r>
          </w:p>
          <w:p w14:paraId="21FF6D54" w14:textId="654A447E" w:rsidR="00F9610D" w:rsidRPr="00F9610D" w:rsidRDefault="00F9610D" w:rsidP="00512287">
            <w:pPr>
              <w:pStyle w:val="TableParagraph"/>
              <w:numPr>
                <w:ilvl w:val="0"/>
                <w:numId w:val="35"/>
              </w:numPr>
              <w:tabs>
                <w:tab w:val="left" w:pos="178"/>
              </w:tabs>
              <w:spacing w:line="167" w:lineRule="exact"/>
              <w:rPr>
                <w:sz w:val="16"/>
                <w:szCs w:val="16"/>
              </w:rPr>
            </w:pPr>
            <w:r>
              <w:rPr>
                <w:color w:val="232323"/>
                <w:w w:val="105"/>
                <w:sz w:val="16"/>
                <w:szCs w:val="16"/>
              </w:rPr>
              <w:t>D</w:t>
            </w:r>
            <w:r w:rsidRPr="00F9610D">
              <w:rPr>
                <w:color w:val="232323"/>
                <w:w w:val="105"/>
                <w:sz w:val="16"/>
                <w:szCs w:val="16"/>
              </w:rPr>
              <w:t>CHA will encourage</w:t>
            </w:r>
            <w:r w:rsidR="00D359D1">
              <w:rPr>
                <w:color w:val="232323"/>
                <w:w w:val="105"/>
                <w:sz w:val="16"/>
                <w:szCs w:val="16"/>
              </w:rPr>
              <w:t xml:space="preserve"> </w:t>
            </w:r>
            <w:r w:rsidRPr="00F9610D">
              <w:rPr>
                <w:color w:val="232323"/>
                <w:w w:val="105"/>
                <w:sz w:val="16"/>
                <w:szCs w:val="16"/>
              </w:rPr>
              <w:t>participation by owners of suitable units located outside areas of</w:t>
            </w:r>
            <w:r>
              <w:rPr>
                <w:color w:val="232323"/>
                <w:w w:val="105"/>
                <w:sz w:val="16"/>
                <w:szCs w:val="16"/>
              </w:rPr>
              <w:t xml:space="preserve"> concentrated poverty or low incomes.</w:t>
            </w:r>
          </w:p>
          <w:p w14:paraId="50686BF7" w14:textId="2F27072A" w:rsidR="00F9610D" w:rsidRPr="00623B2F" w:rsidRDefault="00F9610D" w:rsidP="00623B2F">
            <w:pPr>
              <w:pStyle w:val="TableParagraph"/>
              <w:numPr>
                <w:ilvl w:val="0"/>
                <w:numId w:val="35"/>
              </w:numPr>
              <w:tabs>
                <w:tab w:val="left" w:pos="177"/>
              </w:tabs>
              <w:spacing w:before="4" w:line="254" w:lineRule="auto"/>
              <w:ind w:right="986"/>
              <w:rPr>
                <w:sz w:val="16"/>
                <w:szCs w:val="16"/>
              </w:rPr>
            </w:pPr>
            <w:r w:rsidRPr="00F9610D">
              <w:rPr>
                <w:color w:val="232323"/>
                <w:w w:val="105"/>
                <w:sz w:val="16"/>
                <w:szCs w:val="16"/>
              </w:rPr>
              <w:t xml:space="preserve">While determining payment standards the </w:t>
            </w:r>
            <w:r>
              <w:rPr>
                <w:color w:val="232323"/>
                <w:w w:val="105"/>
                <w:sz w:val="16"/>
                <w:szCs w:val="16"/>
              </w:rPr>
              <w:t>D</w:t>
            </w:r>
            <w:r w:rsidRPr="00F9610D">
              <w:rPr>
                <w:color w:val="232323"/>
                <w:w w:val="105"/>
                <w:sz w:val="16"/>
                <w:szCs w:val="16"/>
              </w:rPr>
              <w:t xml:space="preserve">CHA will review the </w:t>
            </w:r>
            <w:r>
              <w:rPr>
                <w:color w:val="232323"/>
                <w:w w:val="105"/>
                <w:sz w:val="16"/>
                <w:szCs w:val="16"/>
              </w:rPr>
              <w:t xml:space="preserve">cost and </w:t>
            </w:r>
            <w:r w:rsidRPr="00F9610D">
              <w:rPr>
                <w:color w:val="232323"/>
                <w:w w:val="105"/>
                <w:sz w:val="16"/>
                <w:szCs w:val="16"/>
              </w:rPr>
              <w:t>availability of unit</w:t>
            </w:r>
            <w:r>
              <w:rPr>
                <w:color w:val="232323"/>
                <w:w w:val="105"/>
                <w:sz w:val="16"/>
                <w:szCs w:val="16"/>
              </w:rPr>
              <w:t>s</w:t>
            </w:r>
            <w:r w:rsidRPr="00F9610D">
              <w:rPr>
                <w:color w:val="232323"/>
                <w:w w:val="105"/>
                <w:sz w:val="16"/>
                <w:szCs w:val="16"/>
              </w:rPr>
              <w:t xml:space="preserve"> in areas with low concentrations of </w:t>
            </w:r>
            <w:r>
              <w:rPr>
                <w:color w:val="232323"/>
                <w:w w:val="105"/>
                <w:sz w:val="16"/>
                <w:szCs w:val="16"/>
              </w:rPr>
              <w:t>poverty.</w:t>
            </w:r>
          </w:p>
          <w:p w14:paraId="1659CA3E" w14:textId="77777777" w:rsidR="008056E2" w:rsidRDefault="008056E2" w:rsidP="00A203E5">
            <w:pPr>
              <w:rPr>
                <w:bCs/>
                <w:sz w:val="16"/>
                <w:szCs w:val="16"/>
              </w:rPr>
            </w:pPr>
          </w:p>
          <w:p w14:paraId="6370B463" w14:textId="77777777" w:rsidR="009628CC" w:rsidRPr="00E66119" w:rsidRDefault="009628CC" w:rsidP="00A203E5">
            <w:pPr>
              <w:rPr>
                <w:bCs/>
                <w:sz w:val="16"/>
                <w:szCs w:val="16"/>
              </w:rPr>
            </w:pPr>
          </w:p>
          <w:p w14:paraId="20E2546A" w14:textId="77777777" w:rsidR="00A203E5" w:rsidRDefault="00A203E5" w:rsidP="00A203E5">
            <w:pPr>
              <w:rPr>
                <w:b/>
                <w:bCs/>
                <w:sz w:val="16"/>
                <w:szCs w:val="16"/>
              </w:rPr>
            </w:pPr>
          </w:p>
        </w:tc>
      </w:tr>
      <w:tr w:rsidR="00551431" w14:paraId="47EDF6A3" w14:textId="77777777" w:rsidTr="00FE242D">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8F4AF83" w14:textId="77777777" w:rsidR="00551431" w:rsidRDefault="00551431" w:rsidP="00551431">
            <w:pPr>
              <w:jc w:val="center"/>
              <w:rPr>
                <w:b/>
                <w:bCs/>
                <w:sz w:val="16"/>
                <w:szCs w:val="16"/>
              </w:rPr>
            </w:pPr>
          </w:p>
          <w:p w14:paraId="6DFE16A2" w14:textId="77777777" w:rsidR="00551431" w:rsidRPr="00C938EB" w:rsidRDefault="00022E12" w:rsidP="00551431">
            <w:pPr>
              <w:jc w:val="center"/>
              <w:rPr>
                <w:b/>
                <w:bCs/>
                <w:sz w:val="16"/>
                <w:szCs w:val="16"/>
              </w:rPr>
            </w:pPr>
            <w:r>
              <w:rPr>
                <w:b/>
                <w:bCs/>
                <w:sz w:val="16"/>
                <w:szCs w:val="16"/>
              </w:rPr>
              <w:t>B.2</w:t>
            </w:r>
          </w:p>
          <w:p w14:paraId="47B72582" w14:textId="77777777" w:rsidR="00551431" w:rsidRPr="00C938EB" w:rsidRDefault="00551431" w:rsidP="00551431">
            <w:pPr>
              <w:jc w:val="center"/>
              <w:rPr>
                <w:b/>
                <w:bCs/>
                <w:sz w:val="16"/>
                <w:szCs w:val="16"/>
              </w:rPr>
            </w:pPr>
          </w:p>
          <w:p w14:paraId="5826D25A" w14:textId="77777777"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6460B6A3" w14:textId="77777777" w:rsidR="00551431" w:rsidRDefault="00551431" w:rsidP="00551431">
            <w:pPr>
              <w:rPr>
                <w:b/>
                <w:bCs/>
                <w:sz w:val="16"/>
                <w:szCs w:val="16"/>
              </w:rPr>
            </w:pPr>
          </w:p>
          <w:p w14:paraId="6D4B734A" w14:textId="77777777"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0292C331" w14:textId="77777777" w:rsidR="00551431" w:rsidRDefault="00551431" w:rsidP="00551431">
            <w:pPr>
              <w:rPr>
                <w:bCs/>
                <w:i/>
                <w:sz w:val="16"/>
                <w:szCs w:val="16"/>
              </w:rPr>
            </w:pPr>
          </w:p>
          <w:p w14:paraId="5356D217" w14:textId="77777777"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44C6AB67" w14:textId="77777777" w:rsidR="00551431" w:rsidRDefault="00551431" w:rsidP="00551431">
            <w:pPr>
              <w:rPr>
                <w:bCs/>
                <w:i/>
                <w:sz w:val="16"/>
                <w:szCs w:val="16"/>
              </w:rPr>
            </w:pPr>
          </w:p>
          <w:p w14:paraId="14AA603E" w14:textId="77777777" w:rsidR="00551431" w:rsidRPr="005518DE" w:rsidRDefault="00551431" w:rsidP="00551431">
            <w:pPr>
              <w:rPr>
                <w:bCs/>
                <w:sz w:val="16"/>
                <w:szCs w:val="16"/>
              </w:rPr>
            </w:pPr>
            <w:r>
              <w:rPr>
                <w:bCs/>
                <w:sz w:val="16"/>
                <w:szCs w:val="16"/>
              </w:rPr>
              <w:t xml:space="preserve"> Y    N   </w:t>
            </w:r>
          </w:p>
          <w:p w14:paraId="673AEB7C" w14:textId="594ADE78" w:rsidR="00551431" w:rsidRPr="005518DE" w:rsidRDefault="00DB3D70" w:rsidP="00551431">
            <w:pPr>
              <w:rPr>
                <w:bCs/>
                <w:sz w:val="16"/>
                <w:szCs w:val="16"/>
              </w:rPr>
            </w:pP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000000">
              <w:rPr>
                <w:smallCaps/>
                <w:sz w:val="16"/>
                <w:szCs w:val="16"/>
              </w:rPr>
            </w:r>
            <w:r w:rsidR="00000000">
              <w:rPr>
                <w:smallCaps/>
                <w:sz w:val="16"/>
                <w:szCs w:val="16"/>
              </w:rPr>
              <w:fldChar w:fldCharType="separate"/>
            </w:r>
            <w:r w:rsidRPr="00445D7F">
              <w:rPr>
                <w:smallCaps/>
                <w:sz w:val="16"/>
                <w:szCs w:val="16"/>
              </w:rPr>
              <w:fldChar w:fldCharType="end"/>
            </w:r>
            <w:r w:rsidR="00551431">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000000">
              <w:rPr>
                <w:smallCaps/>
                <w:sz w:val="16"/>
                <w:szCs w:val="16"/>
              </w:rPr>
            </w:r>
            <w:r w:rsidR="00000000">
              <w:rPr>
                <w:smallCaps/>
                <w:sz w:val="16"/>
                <w:szCs w:val="16"/>
              </w:rPr>
              <w:fldChar w:fldCharType="separate"/>
            </w:r>
            <w:r w:rsidR="00F542A0">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14:paraId="5A68E064" w14:textId="3C3E7E62" w:rsidR="00551431"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000000">
              <w:rPr>
                <w:smallCaps/>
                <w:sz w:val="16"/>
                <w:szCs w:val="16"/>
              </w:rPr>
            </w:r>
            <w:r w:rsidR="00000000">
              <w:rPr>
                <w:smallCaps/>
                <w:sz w:val="16"/>
                <w:szCs w:val="16"/>
              </w:rPr>
              <w:fldChar w:fldCharType="separate"/>
            </w:r>
            <w:r w:rsidR="00F542A0">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14:paraId="04754F32" w14:textId="3B27D338" w:rsidR="00551431" w:rsidRDefault="00F542A0"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14:paraId="236BF61A" w14:textId="22E5EC19" w:rsidR="00551431" w:rsidRPr="005518DE" w:rsidRDefault="009E27FA" w:rsidP="00551431">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p>
          <w:p w14:paraId="7FCCFB1D" w14:textId="5C9982AA" w:rsidR="00907D35" w:rsidRDefault="00F542A0"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14:paraId="75CA8629" w14:textId="3C74A1E4" w:rsidR="00551431" w:rsidRDefault="00BD3C01"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907D35" w:rsidRPr="005518DE">
              <w:rPr>
                <w:smallCaps/>
                <w:sz w:val="16"/>
                <w:szCs w:val="16"/>
              </w:rPr>
              <w:t xml:space="preserve">  </w:t>
            </w: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907D35" w:rsidRPr="005518DE">
              <w:rPr>
                <w:smallCaps/>
                <w:sz w:val="16"/>
                <w:szCs w:val="16"/>
              </w:rPr>
              <w:t xml:space="preserve"> </w:t>
            </w:r>
            <w:r w:rsidR="00907D35">
              <w:rPr>
                <w:smallCaps/>
                <w:sz w:val="16"/>
                <w:szCs w:val="16"/>
              </w:rPr>
              <w:t xml:space="preserve"> </w:t>
            </w:r>
            <w:r w:rsidR="00907D35" w:rsidRPr="005518DE">
              <w:rPr>
                <w:bCs/>
                <w:sz w:val="16"/>
                <w:szCs w:val="16"/>
              </w:rPr>
              <w:t>Conversion of Public Housing</w:t>
            </w:r>
            <w:r w:rsidR="00907D35">
              <w:rPr>
                <w:bCs/>
                <w:sz w:val="16"/>
                <w:szCs w:val="16"/>
              </w:rPr>
              <w:t xml:space="preserve"> to Project-Based Assistance under RAD. </w:t>
            </w:r>
            <w:r w:rsidR="00551431">
              <w:rPr>
                <w:bCs/>
                <w:sz w:val="16"/>
                <w:szCs w:val="16"/>
              </w:rPr>
              <w:t xml:space="preserve">  </w:t>
            </w:r>
          </w:p>
          <w:p w14:paraId="7589D232" w14:textId="208B2869" w:rsidR="00551431" w:rsidRPr="00E12296"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000000">
              <w:rPr>
                <w:smallCaps/>
                <w:sz w:val="16"/>
                <w:szCs w:val="16"/>
              </w:rPr>
            </w:r>
            <w:r w:rsidR="00000000">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000000">
              <w:rPr>
                <w:smallCaps/>
                <w:sz w:val="16"/>
                <w:szCs w:val="16"/>
              </w:rPr>
            </w:r>
            <w:r w:rsidR="00000000">
              <w:rPr>
                <w:smallCaps/>
                <w:sz w:val="16"/>
                <w:szCs w:val="16"/>
              </w:rPr>
              <w:fldChar w:fldCharType="separate"/>
            </w:r>
            <w:r w:rsidR="00F542A0">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14:paraId="4351B961" w14:textId="4F94B18B" w:rsidR="00551431"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000000">
              <w:rPr>
                <w:smallCaps/>
                <w:sz w:val="16"/>
                <w:szCs w:val="16"/>
              </w:rPr>
            </w:r>
            <w:r w:rsidR="00000000">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000000">
              <w:rPr>
                <w:smallCaps/>
                <w:sz w:val="16"/>
                <w:szCs w:val="16"/>
              </w:rPr>
            </w:r>
            <w:r w:rsidR="00000000">
              <w:rPr>
                <w:smallCaps/>
                <w:sz w:val="16"/>
                <w:szCs w:val="16"/>
              </w:rPr>
              <w:fldChar w:fldCharType="separate"/>
            </w:r>
            <w:r w:rsidR="00F542A0">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14:paraId="3141A9C3" w14:textId="386714B8" w:rsidR="00551431" w:rsidRDefault="00DB3D70" w:rsidP="00551431">
            <w:pPr>
              <w:rPr>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551431">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000000">
              <w:rPr>
                <w:smallCaps/>
                <w:sz w:val="16"/>
                <w:szCs w:val="16"/>
              </w:rPr>
            </w:r>
            <w:r w:rsidR="00000000">
              <w:rPr>
                <w:smallCaps/>
                <w:sz w:val="16"/>
                <w:szCs w:val="16"/>
              </w:rPr>
              <w:fldChar w:fldCharType="separate"/>
            </w:r>
            <w:r w:rsidR="00F542A0">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14:paraId="3F1A6A6B" w14:textId="71267207" w:rsidR="00A86D86" w:rsidRDefault="00F542A0"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14:paraId="737156C5" w14:textId="020CDF99" w:rsidR="0018658D" w:rsidRDefault="001F25F8" w:rsidP="0018658D">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18658D">
              <w:rPr>
                <w:smallCaps/>
                <w:sz w:val="16"/>
                <w:szCs w:val="16"/>
              </w:rPr>
              <w:t xml:space="preserve">  </w:t>
            </w: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18658D" w:rsidRPr="005518DE">
              <w:rPr>
                <w:smallCaps/>
                <w:sz w:val="16"/>
                <w:szCs w:val="16"/>
              </w:rPr>
              <w:t xml:space="preserve"> </w:t>
            </w:r>
            <w:r w:rsidR="0018658D">
              <w:rPr>
                <w:smallCaps/>
                <w:sz w:val="16"/>
                <w:szCs w:val="16"/>
              </w:rPr>
              <w:t xml:space="preserve"> </w:t>
            </w:r>
            <w:r w:rsidR="0018658D">
              <w:rPr>
                <w:bCs/>
                <w:sz w:val="16"/>
                <w:szCs w:val="16"/>
              </w:rPr>
              <w:t>Units with Approved Vacancies for Modernization</w:t>
            </w:r>
            <w:r w:rsidR="0018658D" w:rsidRPr="00684A43">
              <w:rPr>
                <w:bCs/>
                <w:sz w:val="16"/>
                <w:szCs w:val="16"/>
              </w:rPr>
              <w:t>.</w:t>
            </w:r>
            <w:r w:rsidR="0018658D">
              <w:rPr>
                <w:b/>
                <w:bCs/>
                <w:sz w:val="16"/>
                <w:szCs w:val="16"/>
              </w:rPr>
              <w:t xml:space="preserve"> </w:t>
            </w:r>
          </w:p>
          <w:p w14:paraId="5E1AC3D8" w14:textId="59230932" w:rsidR="00551431" w:rsidRPr="00A86D86" w:rsidRDefault="00DB3D70" w:rsidP="00A86D86">
            <w:pPr>
              <w:rPr>
                <w:bCs/>
                <w:sz w:val="16"/>
                <w:szCs w:val="16"/>
              </w:rPr>
            </w:pPr>
            <w:r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Pr="005518DE">
              <w:rPr>
                <w:smallCaps/>
                <w:sz w:val="16"/>
                <w:szCs w:val="16"/>
              </w:rPr>
              <w:fldChar w:fldCharType="end"/>
            </w:r>
            <w:r w:rsidR="00A86D86" w:rsidRPr="005518DE">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000000">
              <w:rPr>
                <w:smallCaps/>
                <w:sz w:val="16"/>
                <w:szCs w:val="16"/>
              </w:rPr>
            </w:r>
            <w:r w:rsidR="00000000">
              <w:rPr>
                <w:smallCaps/>
                <w:sz w:val="16"/>
                <w:szCs w:val="16"/>
              </w:rPr>
              <w:fldChar w:fldCharType="separate"/>
            </w:r>
            <w:r w:rsidR="00F542A0">
              <w:rPr>
                <w:smallCaps/>
                <w:sz w:val="16"/>
                <w:szCs w:val="16"/>
              </w:rPr>
              <w:fldChar w:fldCharType="end"/>
            </w:r>
            <w:r w:rsidR="00A86D86" w:rsidRPr="005518DE">
              <w:rPr>
                <w:smallCaps/>
                <w:sz w:val="16"/>
                <w:szCs w:val="16"/>
              </w:rPr>
              <w:t xml:space="preserve">  </w:t>
            </w:r>
            <w:r w:rsidR="00A86D86">
              <w:rPr>
                <w:bCs/>
                <w:sz w:val="16"/>
                <w:szCs w:val="16"/>
              </w:rPr>
              <w:t>Other Capital Grant Programs (i.e., Capital Fund Community Facilities Grants or Emergency Safety and Security Grants).</w:t>
            </w:r>
            <w:r w:rsidR="00551431">
              <w:rPr>
                <w:b/>
                <w:bCs/>
                <w:sz w:val="16"/>
                <w:szCs w:val="16"/>
              </w:rPr>
              <w:t xml:space="preserve"> </w:t>
            </w:r>
          </w:p>
          <w:p w14:paraId="43D80E1C" w14:textId="77777777" w:rsidR="00551431" w:rsidRDefault="00551431" w:rsidP="00551431">
            <w:pPr>
              <w:rPr>
                <w:bCs/>
                <w:sz w:val="16"/>
                <w:szCs w:val="16"/>
              </w:rPr>
            </w:pPr>
          </w:p>
          <w:p w14:paraId="52A21D71" w14:textId="77777777" w:rsidR="00551431" w:rsidRDefault="00551431" w:rsidP="00551431">
            <w:pPr>
              <w:rPr>
                <w:b/>
                <w:bCs/>
                <w:sz w:val="16"/>
                <w:szCs w:val="16"/>
              </w:rPr>
            </w:pPr>
          </w:p>
          <w:p w14:paraId="305046A7" w14:textId="11C01D4A"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w:t>
            </w:r>
            <w:r>
              <w:rPr>
                <w:bCs/>
                <w:sz w:val="16"/>
                <w:szCs w:val="16"/>
              </w:rPr>
              <w:lastRenderedPageBreak/>
              <w:t>under section 18 of the 1937 Act under the separate demolition/disposition approval process.</w:t>
            </w:r>
            <w:r w:rsidR="00D921A2">
              <w:rPr>
                <w:bCs/>
                <w:sz w:val="16"/>
                <w:szCs w:val="16"/>
              </w:rPr>
              <w:t xml:space="preserve"> </w:t>
            </w:r>
            <w:r>
              <w:rPr>
                <w:bCs/>
                <w:sz w:val="16"/>
                <w:szCs w:val="16"/>
              </w:rPr>
              <w:t>If using Project-Based Vouchers (PBVs), provide the projected number of project</w:t>
            </w:r>
            <w:r w:rsidR="0005104D">
              <w:rPr>
                <w:bCs/>
                <w:sz w:val="16"/>
                <w:szCs w:val="16"/>
              </w:rPr>
              <w:t>-</w:t>
            </w:r>
            <w:r>
              <w:rPr>
                <w:bCs/>
                <w:sz w:val="16"/>
                <w:szCs w:val="16"/>
              </w:rPr>
              <w:t>based units and general locations, and describe how project basing would be consistent with the PHA Plan.</w:t>
            </w:r>
          </w:p>
          <w:p w14:paraId="7A3F78FF" w14:textId="7011C852" w:rsidR="005A4A56" w:rsidRDefault="005A4A56" w:rsidP="001B428E">
            <w:pPr>
              <w:rPr>
                <w:bCs/>
                <w:sz w:val="16"/>
                <w:szCs w:val="16"/>
              </w:rPr>
            </w:pPr>
          </w:p>
          <w:p w14:paraId="5CBDB17F" w14:textId="72965E40" w:rsidR="007C7A6D" w:rsidRDefault="0018402E" w:rsidP="001B428E">
            <w:pPr>
              <w:rPr>
                <w:bCs/>
                <w:sz w:val="16"/>
                <w:szCs w:val="16"/>
              </w:rPr>
            </w:pPr>
            <w:r>
              <w:rPr>
                <w:b/>
                <w:sz w:val="16"/>
                <w:szCs w:val="16"/>
                <w:u w:val="single"/>
              </w:rPr>
              <w:t>Repositioning of DCHA’s Public Housing</w:t>
            </w:r>
            <w:r w:rsidR="005A4A56">
              <w:rPr>
                <w:bCs/>
                <w:sz w:val="16"/>
                <w:szCs w:val="16"/>
              </w:rPr>
              <w:t xml:space="preserve"> – On April </w:t>
            </w:r>
            <w:r w:rsidR="00EB559F">
              <w:rPr>
                <w:bCs/>
                <w:sz w:val="16"/>
                <w:szCs w:val="16"/>
              </w:rPr>
              <w:t>16,2020, HUD</w:t>
            </w:r>
            <w:r w:rsidR="007C7A6D">
              <w:rPr>
                <w:bCs/>
                <w:sz w:val="16"/>
                <w:szCs w:val="16"/>
              </w:rPr>
              <w:t>’s Special Application Center (SAC)</w:t>
            </w:r>
            <w:r w:rsidR="00EB559F">
              <w:rPr>
                <w:bCs/>
                <w:sz w:val="16"/>
                <w:szCs w:val="16"/>
              </w:rPr>
              <w:t xml:space="preserve"> approve</w:t>
            </w:r>
            <w:r w:rsidR="007C7A6D">
              <w:rPr>
                <w:bCs/>
                <w:sz w:val="16"/>
                <w:szCs w:val="16"/>
              </w:rPr>
              <w:t xml:space="preserve">d DCHA’s application to dispose of 25 buildings containing 40 dwelling units and 5.8 acres of underlying land.  This units approved for disposition </w:t>
            </w:r>
            <w:proofErr w:type="gramStart"/>
            <w:r w:rsidR="007C7A6D">
              <w:rPr>
                <w:bCs/>
                <w:sz w:val="16"/>
                <w:szCs w:val="16"/>
              </w:rPr>
              <w:t>are located in</w:t>
            </w:r>
            <w:proofErr w:type="gramEnd"/>
            <w:r w:rsidR="007C7A6D">
              <w:rPr>
                <w:bCs/>
                <w:sz w:val="16"/>
                <w:szCs w:val="16"/>
              </w:rPr>
              <w:t xml:space="preserve"> three communities (Monona, Stoughton, and Sun Prairie), and HUD SAC concurred that disposition of the units is in the best interests of the PHA due to the challenges of maintaining and managing these scattered site units as public housing.</w:t>
            </w:r>
          </w:p>
          <w:p w14:paraId="763DF395" w14:textId="41B67F15" w:rsidR="007C7A6D" w:rsidRDefault="007C7A6D" w:rsidP="001B428E">
            <w:pPr>
              <w:rPr>
                <w:bCs/>
                <w:sz w:val="16"/>
                <w:szCs w:val="16"/>
              </w:rPr>
            </w:pPr>
          </w:p>
          <w:p w14:paraId="7BEE866C" w14:textId="709A62DB" w:rsidR="0018402E" w:rsidRDefault="007C7A6D" w:rsidP="001B428E">
            <w:pPr>
              <w:rPr>
                <w:bCs/>
                <w:sz w:val="16"/>
                <w:szCs w:val="16"/>
              </w:rPr>
            </w:pPr>
            <w:r>
              <w:rPr>
                <w:bCs/>
                <w:sz w:val="16"/>
                <w:szCs w:val="16"/>
              </w:rPr>
              <w:t>Due to extensive</w:t>
            </w:r>
            <w:r w:rsidR="006B4973">
              <w:rPr>
                <w:bCs/>
                <w:sz w:val="16"/>
                <w:szCs w:val="16"/>
              </w:rPr>
              <w:t xml:space="preserve"> staff</w:t>
            </w:r>
            <w:r>
              <w:rPr>
                <w:bCs/>
                <w:sz w:val="16"/>
                <w:szCs w:val="16"/>
              </w:rPr>
              <w:t xml:space="preserve"> turnover at DCHA</w:t>
            </w:r>
            <w:r w:rsidR="00C976ED">
              <w:rPr>
                <w:bCs/>
                <w:sz w:val="16"/>
                <w:szCs w:val="16"/>
              </w:rPr>
              <w:t xml:space="preserve"> from 2020 to 2022</w:t>
            </w:r>
            <w:r>
              <w:rPr>
                <w:bCs/>
                <w:sz w:val="16"/>
                <w:szCs w:val="16"/>
              </w:rPr>
              <w:t xml:space="preserve">, as well as the challenges posed by COVID-19, DCHA has not yet begun the </w:t>
            </w:r>
            <w:r w:rsidR="00C8180B">
              <w:rPr>
                <w:bCs/>
                <w:sz w:val="16"/>
                <w:szCs w:val="16"/>
              </w:rPr>
              <w:t>repositioning</w:t>
            </w:r>
            <w:r>
              <w:rPr>
                <w:bCs/>
                <w:sz w:val="16"/>
                <w:szCs w:val="16"/>
              </w:rPr>
              <w:t xml:space="preserve"> of </w:t>
            </w:r>
            <w:r w:rsidR="006B4973">
              <w:rPr>
                <w:bCs/>
                <w:sz w:val="16"/>
                <w:szCs w:val="16"/>
              </w:rPr>
              <w:t>its public housing; however, this initiative remains a top priority for DCH</w:t>
            </w:r>
            <w:r w:rsidR="00C8180B">
              <w:rPr>
                <w:bCs/>
                <w:sz w:val="16"/>
                <w:szCs w:val="16"/>
              </w:rPr>
              <w:t>A</w:t>
            </w:r>
            <w:r w:rsidR="00B17795">
              <w:rPr>
                <w:bCs/>
                <w:sz w:val="16"/>
                <w:szCs w:val="16"/>
              </w:rPr>
              <w:t xml:space="preserve">.  </w:t>
            </w:r>
          </w:p>
          <w:p w14:paraId="29A7D1B7" w14:textId="77777777" w:rsidR="0018402E" w:rsidRDefault="0018402E" w:rsidP="001B428E">
            <w:pPr>
              <w:rPr>
                <w:bCs/>
                <w:sz w:val="16"/>
                <w:szCs w:val="16"/>
              </w:rPr>
            </w:pPr>
          </w:p>
          <w:p w14:paraId="11362E76" w14:textId="3CCB32DB" w:rsidR="007C7A6D" w:rsidRDefault="00B17795" w:rsidP="001B428E">
            <w:pPr>
              <w:rPr>
                <w:bCs/>
                <w:sz w:val="16"/>
                <w:szCs w:val="16"/>
              </w:rPr>
            </w:pPr>
            <w:r>
              <w:rPr>
                <w:bCs/>
                <w:sz w:val="16"/>
                <w:szCs w:val="16"/>
              </w:rPr>
              <w:t xml:space="preserve">An evaluation of the physical condition of the housing stock is </w:t>
            </w:r>
            <w:r w:rsidR="00C8180B">
              <w:rPr>
                <w:bCs/>
                <w:sz w:val="16"/>
                <w:szCs w:val="16"/>
              </w:rPr>
              <w:t xml:space="preserve">underway; physical inspections of the public housing portfolio were conducted </w:t>
            </w:r>
            <w:r w:rsidR="006A3FAE">
              <w:rPr>
                <w:bCs/>
                <w:sz w:val="16"/>
                <w:szCs w:val="16"/>
              </w:rPr>
              <w:t xml:space="preserve">by an architect </w:t>
            </w:r>
            <w:r w:rsidR="00C8180B">
              <w:rPr>
                <w:bCs/>
                <w:sz w:val="16"/>
                <w:szCs w:val="16"/>
              </w:rPr>
              <w:t xml:space="preserve">in July 2021 and DCHA </w:t>
            </w:r>
            <w:r w:rsidR="006A3FAE">
              <w:rPr>
                <w:bCs/>
                <w:sz w:val="16"/>
                <w:szCs w:val="16"/>
              </w:rPr>
              <w:t>has begun addressing issues noted in the Capital Needs Assessment</w:t>
            </w:r>
            <w:r w:rsidR="00C8180B">
              <w:rPr>
                <w:bCs/>
                <w:sz w:val="16"/>
                <w:szCs w:val="16"/>
              </w:rPr>
              <w:t xml:space="preserve">. </w:t>
            </w:r>
            <w:r w:rsidR="0018402E">
              <w:rPr>
                <w:bCs/>
                <w:sz w:val="16"/>
                <w:szCs w:val="16"/>
              </w:rPr>
              <w:t xml:space="preserve"> </w:t>
            </w:r>
            <w:r w:rsidR="00C8180B">
              <w:rPr>
                <w:bCs/>
                <w:sz w:val="16"/>
                <w:szCs w:val="16"/>
              </w:rPr>
              <w:t xml:space="preserve">This </w:t>
            </w:r>
            <w:r w:rsidR="0018402E">
              <w:rPr>
                <w:bCs/>
                <w:sz w:val="16"/>
                <w:szCs w:val="16"/>
              </w:rPr>
              <w:t xml:space="preserve">physical </w:t>
            </w:r>
            <w:r w:rsidR="00C8180B">
              <w:rPr>
                <w:bCs/>
                <w:sz w:val="16"/>
                <w:szCs w:val="16"/>
              </w:rPr>
              <w:t>anal</w:t>
            </w:r>
            <w:r w:rsidR="0018402E">
              <w:rPr>
                <w:bCs/>
                <w:sz w:val="16"/>
                <w:szCs w:val="16"/>
              </w:rPr>
              <w:t>ysis</w:t>
            </w:r>
            <w:r w:rsidR="00C8180B">
              <w:rPr>
                <w:bCs/>
                <w:sz w:val="16"/>
                <w:szCs w:val="16"/>
              </w:rPr>
              <w:t xml:space="preserve"> will help DCHA decide</w:t>
            </w:r>
            <w:r>
              <w:rPr>
                <w:bCs/>
                <w:sz w:val="16"/>
                <w:szCs w:val="16"/>
              </w:rPr>
              <w:t xml:space="preserve"> whether</w:t>
            </w:r>
            <w:r w:rsidR="00CC32A5">
              <w:rPr>
                <w:bCs/>
                <w:sz w:val="16"/>
                <w:szCs w:val="16"/>
              </w:rPr>
              <w:t xml:space="preserve"> the sale</w:t>
            </w:r>
            <w:r>
              <w:rPr>
                <w:bCs/>
                <w:sz w:val="16"/>
                <w:szCs w:val="16"/>
              </w:rPr>
              <w:t xml:space="preserve"> of any units of public housing </w:t>
            </w:r>
            <w:r w:rsidR="00CC32A5">
              <w:rPr>
                <w:bCs/>
                <w:sz w:val="16"/>
                <w:szCs w:val="16"/>
              </w:rPr>
              <w:t>that are not likely to pass a Housing Quality Standards (HQS) inspection without a substantial capital outlay</w:t>
            </w:r>
            <w:r w:rsidR="006A3FAE">
              <w:rPr>
                <w:bCs/>
                <w:sz w:val="16"/>
                <w:szCs w:val="16"/>
              </w:rPr>
              <w:t xml:space="preserve"> is in the authority’s best interest</w:t>
            </w:r>
            <w:r w:rsidR="00C8180B">
              <w:rPr>
                <w:bCs/>
                <w:sz w:val="16"/>
                <w:szCs w:val="16"/>
              </w:rPr>
              <w:t xml:space="preserve">, or whether the Authority should </w:t>
            </w:r>
            <w:r w:rsidR="0018402E">
              <w:rPr>
                <w:bCs/>
                <w:sz w:val="16"/>
                <w:szCs w:val="16"/>
              </w:rPr>
              <w:t>look at a new RAD/Section 18 Blend option that was created since the initial application was approved in April 2020</w:t>
            </w:r>
            <w:r w:rsidR="00CC32A5">
              <w:rPr>
                <w:bCs/>
                <w:sz w:val="16"/>
                <w:szCs w:val="16"/>
              </w:rPr>
              <w:t>.  This review will ensure that units that are taken through the repositioning process with HUD will be eligible for the project-based tenant protection vouchers and that DCHA will be able to commit to keeping the units affordable for the required 30-year affordability period.</w:t>
            </w:r>
          </w:p>
          <w:p w14:paraId="0CCAE9EB" w14:textId="5F7C97CA" w:rsidR="00CC32A5" w:rsidRDefault="00CC32A5" w:rsidP="001B428E">
            <w:pPr>
              <w:rPr>
                <w:bCs/>
                <w:sz w:val="16"/>
                <w:szCs w:val="16"/>
              </w:rPr>
            </w:pPr>
          </w:p>
          <w:p w14:paraId="5C0F679D" w14:textId="6E75FF39" w:rsidR="00CC32A5" w:rsidRDefault="00CC32A5" w:rsidP="001B428E">
            <w:pPr>
              <w:rPr>
                <w:bCs/>
                <w:sz w:val="16"/>
                <w:szCs w:val="16"/>
              </w:rPr>
            </w:pPr>
            <w:r>
              <w:rPr>
                <w:bCs/>
                <w:sz w:val="16"/>
                <w:szCs w:val="16"/>
              </w:rPr>
              <w:t xml:space="preserve">Likewise, a review of the occupancy standards and tenant rents will confirm </w:t>
            </w:r>
            <w:r w:rsidR="00C976ED">
              <w:rPr>
                <w:bCs/>
                <w:sz w:val="16"/>
                <w:szCs w:val="16"/>
              </w:rPr>
              <w:t xml:space="preserve">how the </w:t>
            </w:r>
            <w:r>
              <w:rPr>
                <w:bCs/>
                <w:sz w:val="16"/>
                <w:szCs w:val="16"/>
              </w:rPr>
              <w:t xml:space="preserve">differences between the public housing and project-based voucher rules and regulations </w:t>
            </w:r>
            <w:r w:rsidR="00C976ED">
              <w:rPr>
                <w:bCs/>
                <w:sz w:val="16"/>
                <w:szCs w:val="16"/>
              </w:rPr>
              <w:t>would</w:t>
            </w:r>
            <w:r>
              <w:rPr>
                <w:bCs/>
                <w:sz w:val="16"/>
                <w:szCs w:val="16"/>
              </w:rPr>
              <w:t xml:space="preserve"> impact our current residents</w:t>
            </w:r>
            <w:r w:rsidR="0018402E">
              <w:rPr>
                <w:bCs/>
                <w:sz w:val="16"/>
                <w:szCs w:val="16"/>
              </w:rPr>
              <w:t xml:space="preserve">, and this will be </w:t>
            </w:r>
            <w:proofErr w:type="gramStart"/>
            <w:r w:rsidR="0018402E">
              <w:rPr>
                <w:bCs/>
                <w:sz w:val="16"/>
                <w:szCs w:val="16"/>
              </w:rPr>
              <w:t>taken into account</w:t>
            </w:r>
            <w:proofErr w:type="gramEnd"/>
            <w:r w:rsidR="0018402E">
              <w:rPr>
                <w:bCs/>
                <w:sz w:val="16"/>
                <w:szCs w:val="16"/>
              </w:rPr>
              <w:t xml:space="preserve"> as we compare the Section 18 repositioning option with the Section 18/RAD blend</w:t>
            </w:r>
            <w:r w:rsidR="006A3FAE">
              <w:rPr>
                <w:bCs/>
                <w:sz w:val="16"/>
                <w:szCs w:val="16"/>
              </w:rPr>
              <w:t xml:space="preserve"> as well.</w:t>
            </w:r>
          </w:p>
          <w:p w14:paraId="3FCD21EC" w14:textId="3B9B2A16" w:rsidR="00EC0C8F" w:rsidRDefault="00EC0C8F" w:rsidP="001B428E">
            <w:pPr>
              <w:rPr>
                <w:bCs/>
                <w:sz w:val="16"/>
                <w:szCs w:val="16"/>
              </w:rPr>
            </w:pPr>
          </w:p>
          <w:p w14:paraId="4AAA4F2E" w14:textId="2A1A935A" w:rsidR="00EC0C8F" w:rsidRDefault="00EC0C8F" w:rsidP="001B428E">
            <w:pPr>
              <w:rPr>
                <w:bCs/>
                <w:sz w:val="16"/>
                <w:szCs w:val="16"/>
              </w:rPr>
            </w:pPr>
            <w:r>
              <w:rPr>
                <w:bCs/>
                <w:sz w:val="16"/>
                <w:szCs w:val="16"/>
              </w:rPr>
              <w:t>We have also been awarded approximately $2.5M in capital improvement grant funding from Dane County to invest in our public housing stock.  We anticipate these funds to be deployed primarily in 2023 and 2024 in conjunction with our repositioning strategy.</w:t>
            </w:r>
          </w:p>
          <w:p w14:paraId="4AE0B4E0" w14:textId="2987C733" w:rsidR="00C976ED" w:rsidRDefault="00C976ED" w:rsidP="001B428E">
            <w:pPr>
              <w:rPr>
                <w:bCs/>
                <w:sz w:val="16"/>
                <w:szCs w:val="16"/>
              </w:rPr>
            </w:pPr>
          </w:p>
          <w:p w14:paraId="58F1B07D" w14:textId="55BAFB45" w:rsidR="00C976ED" w:rsidRDefault="00EC0C8F" w:rsidP="001B428E">
            <w:pPr>
              <w:rPr>
                <w:bCs/>
                <w:sz w:val="16"/>
                <w:szCs w:val="16"/>
              </w:rPr>
            </w:pPr>
            <w:r>
              <w:rPr>
                <w:bCs/>
                <w:sz w:val="16"/>
                <w:szCs w:val="16"/>
              </w:rPr>
              <w:t>DCHA</w:t>
            </w:r>
            <w:r w:rsidR="007A2D79">
              <w:rPr>
                <w:bCs/>
                <w:sz w:val="16"/>
                <w:szCs w:val="16"/>
              </w:rPr>
              <w:t xml:space="preserve"> plans</w:t>
            </w:r>
            <w:r>
              <w:rPr>
                <w:bCs/>
                <w:sz w:val="16"/>
                <w:szCs w:val="16"/>
              </w:rPr>
              <w:t xml:space="preserve"> to submit a formal reque</w:t>
            </w:r>
            <w:r w:rsidR="003837BD">
              <w:rPr>
                <w:bCs/>
                <w:sz w:val="16"/>
                <w:szCs w:val="16"/>
              </w:rPr>
              <w:t xml:space="preserve">st </w:t>
            </w:r>
            <w:r w:rsidR="00F3428D">
              <w:rPr>
                <w:bCs/>
                <w:sz w:val="16"/>
                <w:szCs w:val="16"/>
              </w:rPr>
              <w:t xml:space="preserve">to SAC </w:t>
            </w:r>
            <w:r w:rsidR="003837BD">
              <w:rPr>
                <w:bCs/>
                <w:sz w:val="16"/>
                <w:szCs w:val="16"/>
              </w:rPr>
              <w:t>in September 202</w:t>
            </w:r>
            <w:r w:rsidR="00F3428D">
              <w:rPr>
                <w:bCs/>
                <w:sz w:val="16"/>
                <w:szCs w:val="16"/>
              </w:rPr>
              <w:t>2 to withdraw the existing approved Phase I application.  The existing application was submitted in February of 2020, and a full analysis of the physical condition of the properties was not completed prior to applying, nor was the PH tenant base evaluated for impact of differences in rules and occupancy standards between PH and HCV.  Furthermore</w:t>
            </w:r>
            <w:r w:rsidR="002B3D33">
              <w:rPr>
                <w:bCs/>
                <w:sz w:val="16"/>
                <w:szCs w:val="16"/>
              </w:rPr>
              <w:t>,</w:t>
            </w:r>
            <w:r w:rsidR="00F3428D">
              <w:rPr>
                <w:bCs/>
                <w:sz w:val="16"/>
                <w:szCs w:val="16"/>
              </w:rPr>
              <w:t xml:space="preserve"> the difficulties posed by COVID-19 in being able to fully evaluate the housing stock and </w:t>
            </w:r>
            <w:r w:rsidR="002B3D33">
              <w:rPr>
                <w:bCs/>
                <w:sz w:val="16"/>
                <w:szCs w:val="16"/>
              </w:rPr>
              <w:t xml:space="preserve">find contractors to obtain bids and make repairs has delayed our progress.  Staffing shortages and turnover have also impacted DCHA </w:t>
            </w:r>
            <w:r w:rsidR="00182549">
              <w:rPr>
                <w:bCs/>
                <w:sz w:val="16"/>
                <w:szCs w:val="16"/>
              </w:rPr>
              <w:t xml:space="preserve">and the third-property manager that manages the public housing </w:t>
            </w:r>
            <w:r w:rsidR="002B3D33">
              <w:rPr>
                <w:bCs/>
                <w:sz w:val="16"/>
                <w:szCs w:val="16"/>
              </w:rPr>
              <w:t>during the pandemi</w:t>
            </w:r>
            <w:r w:rsidR="00182549">
              <w:rPr>
                <w:bCs/>
                <w:sz w:val="16"/>
                <w:szCs w:val="16"/>
              </w:rPr>
              <w:t xml:space="preserve">c and that has </w:t>
            </w:r>
            <w:r w:rsidR="006D31E8">
              <w:rPr>
                <w:bCs/>
                <w:sz w:val="16"/>
                <w:szCs w:val="16"/>
              </w:rPr>
              <w:t xml:space="preserve">delayed </w:t>
            </w:r>
            <w:r w:rsidR="00182549">
              <w:rPr>
                <w:bCs/>
                <w:sz w:val="16"/>
                <w:szCs w:val="16"/>
              </w:rPr>
              <w:t>our ability to move ahead more rapidly as well.</w:t>
            </w:r>
          </w:p>
          <w:p w14:paraId="6B22DE73" w14:textId="33BCC7D5" w:rsidR="005A4A56" w:rsidRDefault="005A4A56" w:rsidP="001B428E">
            <w:pPr>
              <w:rPr>
                <w:bCs/>
                <w:sz w:val="16"/>
                <w:szCs w:val="16"/>
              </w:rPr>
            </w:pPr>
          </w:p>
          <w:p w14:paraId="5F5A5EDF" w14:textId="108C9D61" w:rsidR="00A273BF" w:rsidRDefault="005A4A56" w:rsidP="001B428E">
            <w:pPr>
              <w:rPr>
                <w:bCs/>
                <w:sz w:val="16"/>
                <w:szCs w:val="16"/>
              </w:rPr>
            </w:pPr>
            <w:r>
              <w:rPr>
                <w:b/>
                <w:sz w:val="16"/>
                <w:szCs w:val="16"/>
                <w:u w:val="single"/>
              </w:rPr>
              <w:t>Project Based Vouchers</w:t>
            </w:r>
            <w:r>
              <w:rPr>
                <w:bCs/>
                <w:sz w:val="16"/>
                <w:szCs w:val="16"/>
              </w:rPr>
              <w:t xml:space="preserve"> – DCHA has been honoring PBV awards that were made </w:t>
            </w:r>
            <w:r w:rsidR="00534EE0">
              <w:rPr>
                <w:bCs/>
                <w:sz w:val="16"/>
                <w:szCs w:val="16"/>
              </w:rPr>
              <w:t>from</w:t>
            </w:r>
            <w:r>
              <w:rPr>
                <w:bCs/>
                <w:sz w:val="16"/>
                <w:szCs w:val="16"/>
              </w:rPr>
              <w:t xml:space="preserve"> RFP’s held in previous years.  There </w:t>
            </w:r>
            <w:r w:rsidR="00623B2F">
              <w:rPr>
                <w:bCs/>
                <w:sz w:val="16"/>
                <w:szCs w:val="16"/>
              </w:rPr>
              <w:t xml:space="preserve">is currently one </w:t>
            </w:r>
            <w:r>
              <w:rPr>
                <w:bCs/>
                <w:sz w:val="16"/>
                <w:szCs w:val="16"/>
              </w:rPr>
              <w:t xml:space="preserve">development that </w:t>
            </w:r>
            <w:r w:rsidR="00623B2F">
              <w:rPr>
                <w:bCs/>
                <w:sz w:val="16"/>
                <w:szCs w:val="16"/>
              </w:rPr>
              <w:t xml:space="preserve">is under an </w:t>
            </w:r>
            <w:r>
              <w:rPr>
                <w:bCs/>
                <w:sz w:val="16"/>
                <w:szCs w:val="16"/>
              </w:rPr>
              <w:t>AHAP contract</w:t>
            </w:r>
            <w:r w:rsidR="00182549">
              <w:rPr>
                <w:bCs/>
                <w:sz w:val="16"/>
                <w:szCs w:val="16"/>
              </w:rPr>
              <w:t>; Bayview Townhomes, developed by the Bayview Foundation and Horizon Development and located in the City of Madison is expected to open in September 2022.  A</w:t>
            </w:r>
            <w:r w:rsidR="00623B2F">
              <w:rPr>
                <w:bCs/>
                <w:sz w:val="16"/>
                <w:szCs w:val="16"/>
              </w:rPr>
              <w:t xml:space="preserve">nother project, Limestone Ridge, </w:t>
            </w:r>
            <w:r w:rsidR="00182549">
              <w:rPr>
                <w:bCs/>
                <w:sz w:val="16"/>
                <w:szCs w:val="16"/>
              </w:rPr>
              <w:t xml:space="preserve">developed by JT Klein, </w:t>
            </w:r>
            <w:r w:rsidR="00623B2F">
              <w:rPr>
                <w:bCs/>
                <w:sz w:val="16"/>
                <w:szCs w:val="16"/>
              </w:rPr>
              <w:t>opened earlier this year in Fitchburg</w:t>
            </w:r>
            <w:r w:rsidR="00C927E0">
              <w:rPr>
                <w:bCs/>
                <w:sz w:val="16"/>
                <w:szCs w:val="16"/>
              </w:rPr>
              <w:t xml:space="preserve">, and that project is </w:t>
            </w:r>
            <w:r w:rsidR="00182549">
              <w:rPr>
                <w:bCs/>
                <w:sz w:val="16"/>
                <w:szCs w:val="16"/>
              </w:rPr>
              <w:t>in</w:t>
            </w:r>
            <w:r w:rsidR="00C927E0">
              <w:rPr>
                <w:bCs/>
                <w:sz w:val="16"/>
                <w:szCs w:val="16"/>
              </w:rPr>
              <w:t xml:space="preserve"> lease u</w:t>
            </w:r>
            <w:r w:rsidR="00182549">
              <w:rPr>
                <w:bCs/>
                <w:sz w:val="16"/>
                <w:szCs w:val="16"/>
              </w:rPr>
              <w:t>p as of August 2022</w:t>
            </w:r>
            <w:r w:rsidR="00C927E0">
              <w:rPr>
                <w:bCs/>
                <w:sz w:val="16"/>
                <w:szCs w:val="16"/>
              </w:rPr>
              <w:t>.  Both projects contain 8 PBV’s.</w:t>
            </w:r>
          </w:p>
          <w:p w14:paraId="78FF9864" w14:textId="00863309" w:rsidR="007E68B7" w:rsidRDefault="007E68B7" w:rsidP="001B428E">
            <w:pPr>
              <w:rPr>
                <w:bCs/>
                <w:sz w:val="16"/>
                <w:szCs w:val="16"/>
              </w:rPr>
            </w:pPr>
          </w:p>
          <w:p w14:paraId="376099BE" w14:textId="6E3B0AF1" w:rsidR="007E68B7" w:rsidRPr="005A4A56" w:rsidRDefault="007E68B7" w:rsidP="001B428E">
            <w:pPr>
              <w:rPr>
                <w:bCs/>
                <w:sz w:val="16"/>
                <w:szCs w:val="16"/>
              </w:rPr>
            </w:pPr>
            <w:r>
              <w:rPr>
                <w:bCs/>
                <w:sz w:val="16"/>
                <w:szCs w:val="16"/>
              </w:rPr>
              <w:t>DCHA is not anticipating issuing new requests for PBV awards in 20</w:t>
            </w:r>
            <w:r w:rsidR="00C927E0">
              <w:rPr>
                <w:bCs/>
                <w:sz w:val="16"/>
                <w:szCs w:val="16"/>
              </w:rPr>
              <w:t>23</w:t>
            </w:r>
            <w:r w:rsidR="00662A8C">
              <w:rPr>
                <w:bCs/>
                <w:sz w:val="16"/>
                <w:szCs w:val="16"/>
              </w:rPr>
              <w:t>;</w:t>
            </w:r>
            <w:r>
              <w:rPr>
                <w:bCs/>
                <w:sz w:val="16"/>
                <w:szCs w:val="16"/>
              </w:rPr>
              <w:t xml:space="preserve"> after extraordinary growth in the PBV program from 2014 to the present with the addition of 22 new PBV contracts, DCHA needs to fully absorb the projects in the pipeline and evaluate priorities </w:t>
            </w:r>
            <w:r w:rsidR="00C927E0">
              <w:rPr>
                <w:bCs/>
                <w:sz w:val="16"/>
                <w:szCs w:val="16"/>
              </w:rPr>
              <w:t xml:space="preserve">and administrative processes </w:t>
            </w:r>
            <w:r>
              <w:rPr>
                <w:bCs/>
                <w:sz w:val="16"/>
                <w:szCs w:val="16"/>
              </w:rPr>
              <w:t>for the PBV component of the HCV program.</w:t>
            </w:r>
          </w:p>
          <w:p w14:paraId="12B33CE7" w14:textId="77777777" w:rsidR="00B63EA7" w:rsidRDefault="00B63EA7" w:rsidP="00551431">
            <w:pPr>
              <w:rPr>
                <w:rFonts w:eastAsia="Calibri"/>
                <w:sz w:val="16"/>
                <w:szCs w:val="16"/>
              </w:rPr>
            </w:pPr>
          </w:p>
          <w:p w14:paraId="0134214B" w14:textId="77777777" w:rsidR="00551431" w:rsidRDefault="00551431" w:rsidP="00551431">
            <w:pPr>
              <w:rPr>
                <w:b/>
                <w:bCs/>
                <w:sz w:val="16"/>
                <w:szCs w:val="16"/>
              </w:rPr>
            </w:pPr>
          </w:p>
        </w:tc>
      </w:tr>
      <w:tr w:rsidR="00551431" w14:paraId="53BDE2DB" w14:textId="77777777" w:rsidTr="00FE242D">
        <w:trPr>
          <w:gridAfter w:val="1"/>
          <w:wAfter w:w="9720" w:type="dxa"/>
          <w:cantSplit/>
          <w:trHeight w:val="1131"/>
        </w:trPr>
        <w:tc>
          <w:tcPr>
            <w:tcW w:w="540" w:type="dxa"/>
            <w:tcBorders>
              <w:top w:val="single" w:sz="4" w:space="0" w:color="auto"/>
              <w:left w:val="single" w:sz="4" w:space="0" w:color="auto"/>
              <w:bottom w:val="single" w:sz="4" w:space="0" w:color="auto"/>
              <w:right w:val="single" w:sz="4" w:space="0" w:color="auto"/>
            </w:tcBorders>
          </w:tcPr>
          <w:p w14:paraId="0F1BB47E" w14:textId="77777777" w:rsidR="00551431" w:rsidRDefault="00551431" w:rsidP="00551431">
            <w:pPr>
              <w:jc w:val="center"/>
              <w:rPr>
                <w:rFonts w:eastAsia="Calibri"/>
                <w:b/>
                <w:bCs/>
                <w:sz w:val="16"/>
                <w:szCs w:val="16"/>
              </w:rPr>
            </w:pPr>
          </w:p>
          <w:p w14:paraId="34E80C95" w14:textId="77777777" w:rsidR="00551431" w:rsidRDefault="00022E12" w:rsidP="00551431">
            <w:pPr>
              <w:jc w:val="center"/>
              <w:rPr>
                <w:rFonts w:eastAsia="Calibri"/>
                <w:b/>
                <w:bCs/>
                <w:sz w:val="20"/>
                <w:szCs w:val="20"/>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14:paraId="45377C8E" w14:textId="77777777" w:rsidR="00551431" w:rsidRDefault="00551431" w:rsidP="00551431">
            <w:pPr>
              <w:rPr>
                <w:rFonts w:eastAsia="Calibri"/>
                <w:b/>
                <w:bCs/>
                <w:sz w:val="16"/>
                <w:szCs w:val="16"/>
              </w:rPr>
            </w:pPr>
          </w:p>
          <w:p w14:paraId="7CB237E9" w14:textId="77777777" w:rsidR="00551431" w:rsidRDefault="00551431" w:rsidP="00551431">
            <w:pPr>
              <w:rPr>
                <w:rFonts w:ascii="Calibri" w:hAnsi="Calibri"/>
                <w:b/>
                <w:bCs/>
                <w:sz w:val="16"/>
                <w:szCs w:val="16"/>
              </w:rPr>
            </w:pPr>
            <w:r>
              <w:rPr>
                <w:b/>
                <w:bCs/>
                <w:sz w:val="16"/>
                <w:szCs w:val="16"/>
              </w:rPr>
              <w:t xml:space="preserve">Civil Rights Certification.  </w:t>
            </w:r>
          </w:p>
          <w:p w14:paraId="5C17EE2A" w14:textId="77777777" w:rsidR="00551431" w:rsidRDefault="00551431" w:rsidP="00551431">
            <w:pPr>
              <w:ind w:left="-18" w:firstLine="18"/>
              <w:rPr>
                <w:b/>
                <w:bCs/>
                <w:sz w:val="16"/>
                <w:szCs w:val="16"/>
              </w:rPr>
            </w:pPr>
          </w:p>
          <w:p w14:paraId="1D18994D" w14:textId="1E28134B" w:rsidR="00551431" w:rsidRDefault="008C0688" w:rsidP="00551431">
            <w:pPr>
              <w:rPr>
                <w:rFonts w:eastAsia="Calibri"/>
                <w:b/>
                <w:bCs/>
                <w:sz w:val="20"/>
                <w:szCs w:val="20"/>
              </w:rPr>
            </w:pPr>
            <w:r>
              <w:rPr>
                <w:sz w:val="16"/>
                <w:szCs w:val="16"/>
              </w:rPr>
              <w:t>Form HUD-50077</w:t>
            </w:r>
            <w:r w:rsidR="00551431">
              <w:rPr>
                <w:sz w:val="16"/>
                <w:szCs w:val="16"/>
              </w:rPr>
              <w:t xml:space="preserve">, </w:t>
            </w:r>
            <w:r w:rsidRPr="008C0688">
              <w:rPr>
                <w:i/>
                <w:iCs/>
                <w:sz w:val="16"/>
                <w:szCs w:val="16"/>
              </w:rPr>
              <w:t>PHA Certifications of Compliance with the P</w:t>
            </w:r>
            <w:r>
              <w:rPr>
                <w:i/>
                <w:iCs/>
                <w:sz w:val="16"/>
                <w:szCs w:val="16"/>
              </w:rPr>
              <w:t>HA Plans and Related Regulations</w:t>
            </w:r>
            <w:r w:rsidR="00551431">
              <w:rPr>
                <w:i/>
                <w:iCs/>
                <w:sz w:val="16"/>
                <w:szCs w:val="16"/>
              </w:rPr>
              <w:t xml:space="preserve">, </w:t>
            </w:r>
            <w:r w:rsidR="00551431">
              <w:rPr>
                <w:sz w:val="16"/>
                <w:szCs w:val="16"/>
              </w:rPr>
              <w:t>must be submitted by the PHA as an electronic attachment to the PHA Plan.</w:t>
            </w:r>
            <w:r w:rsidR="007B1CC2">
              <w:rPr>
                <w:sz w:val="16"/>
                <w:szCs w:val="16"/>
              </w:rPr>
              <w:t xml:space="preserve"> (Attached)</w:t>
            </w:r>
          </w:p>
        </w:tc>
      </w:tr>
      <w:tr w:rsidR="00551431" w14:paraId="6902E979" w14:textId="77777777" w:rsidTr="00FE242D">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36B4DB21" w14:textId="77777777" w:rsidR="00551431" w:rsidRDefault="00551431" w:rsidP="00551431">
            <w:pPr>
              <w:jc w:val="center"/>
              <w:rPr>
                <w:b/>
                <w:bCs/>
                <w:sz w:val="16"/>
                <w:szCs w:val="16"/>
              </w:rPr>
            </w:pPr>
          </w:p>
          <w:p w14:paraId="53474639" w14:textId="77777777" w:rsidR="00551431" w:rsidRDefault="00022E12"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705DCC40" w14:textId="77777777" w:rsidR="00551431" w:rsidRDefault="00551431" w:rsidP="00551431">
            <w:pPr>
              <w:rPr>
                <w:b/>
                <w:bCs/>
                <w:sz w:val="16"/>
                <w:szCs w:val="16"/>
              </w:rPr>
            </w:pPr>
          </w:p>
          <w:p w14:paraId="5971A165" w14:textId="77777777" w:rsidR="00551431" w:rsidRPr="00BE5FE4" w:rsidRDefault="00551431" w:rsidP="00551431">
            <w:pPr>
              <w:rPr>
                <w:bCs/>
                <w:sz w:val="16"/>
                <w:szCs w:val="16"/>
              </w:rPr>
            </w:pPr>
            <w:r>
              <w:rPr>
                <w:b/>
                <w:bCs/>
                <w:sz w:val="16"/>
                <w:szCs w:val="16"/>
              </w:rPr>
              <w:t>Most Recent Fiscal Year Audit</w:t>
            </w:r>
            <w:r w:rsidRPr="00BE5FE4">
              <w:rPr>
                <w:bCs/>
                <w:sz w:val="16"/>
                <w:szCs w:val="16"/>
              </w:rPr>
              <w:t xml:space="preserve">.  </w:t>
            </w:r>
          </w:p>
          <w:p w14:paraId="77497A20" w14:textId="77777777" w:rsidR="00551431" w:rsidRPr="00BE5FE4" w:rsidRDefault="00551431" w:rsidP="00551431">
            <w:pPr>
              <w:rPr>
                <w:bCs/>
                <w:sz w:val="16"/>
                <w:szCs w:val="16"/>
              </w:rPr>
            </w:pPr>
          </w:p>
          <w:p w14:paraId="58DF270B" w14:textId="77777777" w:rsidR="00551431" w:rsidRPr="00BE5FE4" w:rsidRDefault="00551431" w:rsidP="00551431">
            <w:pPr>
              <w:numPr>
                <w:ilvl w:val="0"/>
                <w:numId w:val="25"/>
              </w:numPr>
              <w:ind w:left="252" w:hanging="270"/>
              <w:rPr>
                <w:bCs/>
                <w:sz w:val="16"/>
                <w:szCs w:val="16"/>
              </w:rPr>
            </w:pPr>
            <w:r w:rsidRPr="00BE5FE4">
              <w:rPr>
                <w:bCs/>
                <w:sz w:val="16"/>
                <w:szCs w:val="16"/>
              </w:rPr>
              <w:t xml:space="preserve">Were there any findings in the most recent FY Audit?  </w:t>
            </w:r>
          </w:p>
          <w:p w14:paraId="03E9AFEF" w14:textId="77777777" w:rsidR="00551431" w:rsidRPr="00BE5FE4" w:rsidRDefault="00551431" w:rsidP="00551431">
            <w:pPr>
              <w:rPr>
                <w:bCs/>
                <w:sz w:val="16"/>
                <w:szCs w:val="16"/>
              </w:rPr>
            </w:pPr>
          </w:p>
          <w:p w14:paraId="370F1C9F" w14:textId="77777777" w:rsidR="00551431" w:rsidRPr="00BE5FE4" w:rsidRDefault="00551431" w:rsidP="00551431">
            <w:pPr>
              <w:rPr>
                <w:bCs/>
                <w:sz w:val="16"/>
                <w:szCs w:val="16"/>
              </w:rPr>
            </w:pPr>
            <w:r w:rsidRPr="00BE5FE4">
              <w:rPr>
                <w:bCs/>
                <w:sz w:val="16"/>
                <w:szCs w:val="16"/>
              </w:rPr>
              <w:t xml:space="preserve">Y </w:t>
            </w:r>
            <w:r>
              <w:rPr>
                <w:bCs/>
                <w:sz w:val="16"/>
                <w:szCs w:val="16"/>
              </w:rPr>
              <w:t xml:space="preserve">   N   </w:t>
            </w:r>
          </w:p>
          <w:p w14:paraId="59C9CD76" w14:textId="3ED79BF7" w:rsidR="00551431" w:rsidRPr="00BE5FE4" w:rsidRDefault="00F542A0" w:rsidP="00551431">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551431"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551431" w:rsidRPr="00BE5FE4">
              <w:rPr>
                <w:bCs/>
                <w:sz w:val="16"/>
                <w:szCs w:val="16"/>
              </w:rPr>
              <w:t xml:space="preserve">  </w:t>
            </w:r>
          </w:p>
          <w:p w14:paraId="2DDC0F92" w14:textId="77777777" w:rsidR="00551431" w:rsidRPr="00BE5FE4" w:rsidRDefault="00551431" w:rsidP="00551431">
            <w:pPr>
              <w:rPr>
                <w:bCs/>
                <w:sz w:val="16"/>
                <w:szCs w:val="16"/>
              </w:rPr>
            </w:pPr>
          </w:p>
          <w:p w14:paraId="209A978E" w14:textId="6EE06354" w:rsidR="009924C0" w:rsidRDefault="00551431" w:rsidP="008C7FAF">
            <w:pPr>
              <w:pStyle w:val="ListParagraph"/>
              <w:numPr>
                <w:ilvl w:val="0"/>
                <w:numId w:val="25"/>
              </w:numPr>
              <w:rPr>
                <w:bCs/>
                <w:sz w:val="16"/>
                <w:szCs w:val="16"/>
              </w:rPr>
            </w:pPr>
            <w:r w:rsidRPr="00B63EA7">
              <w:rPr>
                <w:bCs/>
                <w:sz w:val="16"/>
                <w:szCs w:val="16"/>
              </w:rPr>
              <w:t xml:space="preserve">If yes, please describe: </w:t>
            </w:r>
            <w:r w:rsidR="008C7FAF">
              <w:rPr>
                <w:bCs/>
                <w:sz w:val="16"/>
                <w:szCs w:val="16"/>
              </w:rPr>
              <w:t xml:space="preserve">DCHA’s </w:t>
            </w:r>
            <w:r w:rsidR="001F25F8">
              <w:rPr>
                <w:bCs/>
                <w:sz w:val="16"/>
                <w:szCs w:val="16"/>
              </w:rPr>
              <w:t xml:space="preserve">2020 </w:t>
            </w:r>
            <w:r w:rsidR="008C7FAF">
              <w:rPr>
                <w:bCs/>
                <w:sz w:val="16"/>
                <w:szCs w:val="16"/>
              </w:rPr>
              <w:t xml:space="preserve">audit contained </w:t>
            </w:r>
            <w:r w:rsidR="001F25F8">
              <w:rPr>
                <w:bCs/>
                <w:sz w:val="16"/>
                <w:szCs w:val="16"/>
              </w:rPr>
              <w:t>a</w:t>
            </w:r>
            <w:r w:rsidR="008C7FAF">
              <w:rPr>
                <w:bCs/>
                <w:sz w:val="16"/>
                <w:szCs w:val="16"/>
              </w:rPr>
              <w:t xml:space="preserve"> finding.  </w:t>
            </w:r>
          </w:p>
          <w:p w14:paraId="37CDA639" w14:textId="77777777" w:rsidR="009924C0" w:rsidRPr="001F25F8" w:rsidRDefault="009924C0" w:rsidP="001F25F8">
            <w:pPr>
              <w:rPr>
                <w:bCs/>
                <w:sz w:val="16"/>
                <w:szCs w:val="16"/>
              </w:rPr>
            </w:pPr>
          </w:p>
          <w:p w14:paraId="6E4E167F" w14:textId="56B1830F" w:rsidR="00551431" w:rsidRPr="008C7FAF" w:rsidRDefault="008C7FAF" w:rsidP="009924C0">
            <w:pPr>
              <w:pStyle w:val="ListParagraph"/>
              <w:rPr>
                <w:bCs/>
                <w:sz w:val="16"/>
                <w:szCs w:val="16"/>
              </w:rPr>
            </w:pPr>
            <w:r w:rsidRPr="008C7FAF">
              <w:rPr>
                <w:bCs/>
                <w:sz w:val="16"/>
                <w:szCs w:val="16"/>
              </w:rPr>
              <w:t xml:space="preserve">The finding related to </w:t>
            </w:r>
            <w:r>
              <w:rPr>
                <w:bCs/>
                <w:sz w:val="16"/>
                <w:szCs w:val="16"/>
              </w:rPr>
              <w:t>segregation of duties in the accounting and record keeping functions.</w:t>
            </w:r>
            <w:r w:rsidR="00A273BF">
              <w:rPr>
                <w:bCs/>
                <w:sz w:val="16"/>
                <w:szCs w:val="16"/>
              </w:rPr>
              <w:t>as it relate</w:t>
            </w:r>
            <w:r w:rsidR="001F25F8">
              <w:rPr>
                <w:bCs/>
                <w:sz w:val="16"/>
                <w:szCs w:val="16"/>
              </w:rPr>
              <w:t>d</w:t>
            </w:r>
            <w:r w:rsidR="00A273BF">
              <w:rPr>
                <w:bCs/>
                <w:sz w:val="16"/>
                <w:szCs w:val="16"/>
              </w:rPr>
              <w:t xml:space="preserve"> to controls over payroll.  No costs were questioned </w:t>
            </w:r>
            <w:r w:rsidR="009924C0">
              <w:rPr>
                <w:bCs/>
                <w:sz w:val="16"/>
                <w:szCs w:val="16"/>
              </w:rPr>
              <w:t xml:space="preserve">by the auditor, </w:t>
            </w:r>
            <w:r w:rsidR="00A273BF">
              <w:rPr>
                <w:bCs/>
                <w:sz w:val="16"/>
                <w:szCs w:val="16"/>
              </w:rPr>
              <w:t xml:space="preserve">and the Authority </w:t>
            </w:r>
            <w:r w:rsidR="001F25F8">
              <w:rPr>
                <w:bCs/>
                <w:sz w:val="16"/>
                <w:szCs w:val="16"/>
              </w:rPr>
              <w:t>has modified its</w:t>
            </w:r>
            <w:r w:rsidR="00A273BF">
              <w:rPr>
                <w:bCs/>
                <w:sz w:val="16"/>
                <w:szCs w:val="16"/>
              </w:rPr>
              <w:t xml:space="preserve"> </w:t>
            </w:r>
            <w:r w:rsidR="001F25F8">
              <w:rPr>
                <w:bCs/>
                <w:sz w:val="16"/>
                <w:szCs w:val="16"/>
              </w:rPr>
              <w:t xml:space="preserve">payroll review and approval </w:t>
            </w:r>
            <w:r w:rsidR="00A273BF">
              <w:rPr>
                <w:bCs/>
                <w:sz w:val="16"/>
                <w:szCs w:val="16"/>
              </w:rPr>
              <w:t>processes and</w:t>
            </w:r>
            <w:r w:rsidR="001F25F8">
              <w:rPr>
                <w:bCs/>
                <w:sz w:val="16"/>
                <w:szCs w:val="16"/>
              </w:rPr>
              <w:t xml:space="preserve"> does not anticipate a repeat of this finding in the 2021 audit</w:t>
            </w:r>
            <w:r w:rsidR="00A273BF">
              <w:rPr>
                <w:bCs/>
                <w:sz w:val="16"/>
                <w:szCs w:val="16"/>
              </w:rPr>
              <w:t>.</w:t>
            </w:r>
          </w:p>
          <w:p w14:paraId="1437CD91" w14:textId="77777777" w:rsidR="008C7FAF" w:rsidRPr="008C7FAF" w:rsidRDefault="008C7FAF" w:rsidP="008C7FAF">
            <w:pPr>
              <w:rPr>
                <w:bCs/>
                <w:sz w:val="16"/>
                <w:szCs w:val="16"/>
              </w:rPr>
            </w:pPr>
          </w:p>
          <w:p w14:paraId="44C20AC3" w14:textId="77777777" w:rsidR="00B63EA7" w:rsidRPr="00B63EA7" w:rsidRDefault="00B63EA7" w:rsidP="00B63EA7">
            <w:pPr>
              <w:pStyle w:val="ListParagraph"/>
              <w:rPr>
                <w:bCs/>
                <w:sz w:val="16"/>
                <w:szCs w:val="16"/>
              </w:rPr>
            </w:pPr>
          </w:p>
          <w:p w14:paraId="6323A1CC" w14:textId="77777777" w:rsidR="00551431" w:rsidRDefault="00551431" w:rsidP="00551431">
            <w:pPr>
              <w:rPr>
                <w:b/>
                <w:bCs/>
                <w:sz w:val="16"/>
                <w:szCs w:val="16"/>
              </w:rPr>
            </w:pPr>
          </w:p>
        </w:tc>
      </w:tr>
      <w:tr w:rsidR="00551431" w14:paraId="08126D35" w14:textId="77777777" w:rsidTr="00FE242D">
        <w:trPr>
          <w:gridAfter w:val="1"/>
          <w:wAfter w:w="9720" w:type="dxa"/>
          <w:cantSplit/>
          <w:trHeight w:val="1077"/>
        </w:trPr>
        <w:tc>
          <w:tcPr>
            <w:tcW w:w="540" w:type="dxa"/>
            <w:tcBorders>
              <w:top w:val="single" w:sz="4" w:space="0" w:color="auto"/>
              <w:left w:val="single" w:sz="4" w:space="0" w:color="auto"/>
              <w:bottom w:val="single" w:sz="4" w:space="0" w:color="auto"/>
              <w:right w:val="single" w:sz="4" w:space="0" w:color="auto"/>
            </w:tcBorders>
          </w:tcPr>
          <w:p w14:paraId="2FC3A30C" w14:textId="77777777" w:rsidR="00551431" w:rsidRDefault="00551431" w:rsidP="00551431">
            <w:pPr>
              <w:rPr>
                <w:b/>
                <w:sz w:val="16"/>
                <w:szCs w:val="16"/>
              </w:rPr>
            </w:pPr>
          </w:p>
          <w:p w14:paraId="7F52BFE6" w14:textId="77777777" w:rsidR="00551431" w:rsidRPr="009D2BC7" w:rsidRDefault="00022E12" w:rsidP="00551431">
            <w:pPr>
              <w:rPr>
                <w:b/>
                <w:sz w:val="16"/>
                <w:szCs w:val="16"/>
              </w:rPr>
            </w:pPr>
            <w:r>
              <w:rPr>
                <w:b/>
                <w:sz w:val="16"/>
                <w:szCs w:val="16"/>
              </w:rPr>
              <w:t>B.5</w:t>
            </w:r>
          </w:p>
        </w:tc>
        <w:tc>
          <w:tcPr>
            <w:tcW w:w="9720" w:type="dxa"/>
            <w:gridSpan w:val="6"/>
            <w:tcBorders>
              <w:top w:val="single" w:sz="4" w:space="0" w:color="auto"/>
              <w:left w:val="single" w:sz="4" w:space="0" w:color="auto"/>
              <w:bottom w:val="single" w:sz="4" w:space="0" w:color="auto"/>
              <w:right w:val="single" w:sz="4" w:space="0" w:color="auto"/>
            </w:tcBorders>
          </w:tcPr>
          <w:p w14:paraId="2498D1C5" w14:textId="77777777" w:rsidR="00551431" w:rsidRPr="002952E9" w:rsidRDefault="00551431" w:rsidP="00551431">
            <w:pPr>
              <w:tabs>
                <w:tab w:val="left" w:pos="409"/>
                <w:tab w:val="left" w:pos="522"/>
              </w:tabs>
              <w:rPr>
                <w:b/>
                <w:bCs/>
                <w:sz w:val="16"/>
                <w:szCs w:val="16"/>
              </w:rPr>
            </w:pPr>
          </w:p>
          <w:p w14:paraId="15B425BF" w14:textId="77777777" w:rsidR="00551431" w:rsidRPr="002952E9" w:rsidRDefault="00551431" w:rsidP="00551431">
            <w:pPr>
              <w:tabs>
                <w:tab w:val="left" w:pos="409"/>
                <w:tab w:val="left" w:pos="522"/>
              </w:tabs>
              <w:rPr>
                <w:sz w:val="16"/>
                <w:szCs w:val="16"/>
              </w:rPr>
            </w:pPr>
            <w:r w:rsidRPr="002952E9">
              <w:rPr>
                <w:b/>
                <w:bCs/>
                <w:sz w:val="16"/>
                <w:szCs w:val="16"/>
              </w:rPr>
              <w:t>Progress Report.</w:t>
            </w:r>
            <w:r w:rsidRPr="002952E9">
              <w:rPr>
                <w:bCs/>
                <w:sz w:val="16"/>
                <w:szCs w:val="16"/>
              </w:rPr>
              <w:t xml:space="preserve"> </w:t>
            </w:r>
          </w:p>
          <w:p w14:paraId="3B18C630" w14:textId="77777777" w:rsidR="00551431" w:rsidRPr="002952E9" w:rsidRDefault="00551431" w:rsidP="00551431">
            <w:pPr>
              <w:rPr>
                <w:sz w:val="16"/>
                <w:szCs w:val="16"/>
              </w:rPr>
            </w:pPr>
          </w:p>
          <w:p w14:paraId="4077E2F3" w14:textId="320CEF12" w:rsidR="00551431" w:rsidRPr="002952E9" w:rsidRDefault="00551431" w:rsidP="00551431">
            <w:pPr>
              <w:rPr>
                <w:sz w:val="16"/>
                <w:szCs w:val="16"/>
              </w:rPr>
            </w:pPr>
            <w:r w:rsidRPr="002952E9">
              <w:rPr>
                <w:sz w:val="16"/>
                <w:szCs w:val="16"/>
              </w:rPr>
              <w:t>Provide a description of the PHA’s progress in meeting its Mission and Goals described in the PHA 5-Year and Annual Plan.</w:t>
            </w:r>
          </w:p>
          <w:p w14:paraId="353C4647" w14:textId="6460E93B" w:rsidR="00967421" w:rsidRPr="002952E9" w:rsidRDefault="00967421" w:rsidP="00551431">
            <w:pPr>
              <w:rPr>
                <w:sz w:val="16"/>
                <w:szCs w:val="16"/>
              </w:rPr>
            </w:pPr>
          </w:p>
          <w:p w14:paraId="1EDDC494" w14:textId="03D38445" w:rsidR="00D359D1" w:rsidRPr="002952E9" w:rsidRDefault="00967421" w:rsidP="00D359D1">
            <w:pPr>
              <w:rPr>
                <w:color w:val="000000"/>
                <w:sz w:val="16"/>
                <w:szCs w:val="16"/>
              </w:rPr>
            </w:pPr>
            <w:r w:rsidRPr="002952E9">
              <w:rPr>
                <w:sz w:val="16"/>
                <w:szCs w:val="16"/>
              </w:rPr>
              <w:t>DCHA’s stated mission is to</w:t>
            </w:r>
            <w:r w:rsidR="008C4534" w:rsidRPr="002952E9">
              <w:rPr>
                <w:sz w:val="16"/>
                <w:szCs w:val="16"/>
              </w:rPr>
              <w:t xml:space="preserve"> </w:t>
            </w:r>
            <w:r w:rsidR="008C4534" w:rsidRPr="002952E9">
              <w:rPr>
                <w:bCs/>
                <w:sz w:val="16"/>
                <w:szCs w:val="16"/>
              </w:rPr>
              <w:t xml:space="preserve">is to promote safe, </w:t>
            </w:r>
            <w:proofErr w:type="gramStart"/>
            <w:r w:rsidR="008C4534" w:rsidRPr="002952E9">
              <w:rPr>
                <w:bCs/>
                <w:sz w:val="16"/>
                <w:szCs w:val="16"/>
              </w:rPr>
              <w:t>decent</w:t>
            </w:r>
            <w:proofErr w:type="gramEnd"/>
            <w:r w:rsidR="008C4534" w:rsidRPr="002952E9">
              <w:rPr>
                <w:bCs/>
                <w:sz w:val="16"/>
                <w:szCs w:val="16"/>
              </w:rPr>
              <w:t xml:space="preserve"> and affordable housing for our those who participate in our programs, as well as to support efforts to expand the supply of affordable housing in Dane County.</w:t>
            </w:r>
            <w:r w:rsidR="00D359D1" w:rsidRPr="002952E9">
              <w:rPr>
                <w:color w:val="000000"/>
                <w:sz w:val="16"/>
                <w:szCs w:val="16"/>
              </w:rPr>
              <w:t xml:space="preserve"> DCHA’s goals for the years 2021-2025 include the following:</w:t>
            </w:r>
          </w:p>
          <w:p w14:paraId="3923FA65" w14:textId="77777777" w:rsidR="00D359D1" w:rsidRPr="002952E9" w:rsidRDefault="00D359D1" w:rsidP="00D359D1">
            <w:pPr>
              <w:rPr>
                <w:color w:val="000000"/>
                <w:sz w:val="16"/>
                <w:szCs w:val="16"/>
              </w:rPr>
            </w:pPr>
          </w:p>
          <w:p w14:paraId="00ABD2EC" w14:textId="5195BD39" w:rsidR="00D359D1" w:rsidRPr="002952E9" w:rsidRDefault="00D359D1" w:rsidP="00D359D1">
            <w:pPr>
              <w:pStyle w:val="ListParagraph"/>
              <w:numPr>
                <w:ilvl w:val="0"/>
                <w:numId w:val="36"/>
              </w:numPr>
              <w:rPr>
                <w:color w:val="000000"/>
                <w:sz w:val="16"/>
                <w:szCs w:val="16"/>
              </w:rPr>
            </w:pPr>
            <w:r w:rsidRPr="002952E9">
              <w:rPr>
                <w:color w:val="000000"/>
                <w:sz w:val="16"/>
                <w:szCs w:val="16"/>
              </w:rPr>
              <w:lastRenderedPageBreak/>
              <w:t>Support efforts to expand the supply of affordable housing in Dane County</w:t>
            </w:r>
          </w:p>
          <w:p w14:paraId="5AC760D4" w14:textId="4286C175" w:rsidR="00D359D1" w:rsidRPr="002952E9" w:rsidRDefault="00D359D1" w:rsidP="00D359D1">
            <w:pPr>
              <w:numPr>
                <w:ilvl w:val="0"/>
                <w:numId w:val="37"/>
              </w:numPr>
              <w:rPr>
                <w:color w:val="000000"/>
                <w:sz w:val="16"/>
                <w:szCs w:val="16"/>
              </w:rPr>
            </w:pPr>
            <w:r w:rsidRPr="002952E9">
              <w:rPr>
                <w:color w:val="000000"/>
                <w:sz w:val="16"/>
                <w:szCs w:val="16"/>
              </w:rPr>
              <w:t>Seek to expand DCHA’s HCV program through additional vouchers/funding (</w:t>
            </w:r>
            <w:proofErr w:type="gramStart"/>
            <w:r w:rsidRPr="002952E9">
              <w:rPr>
                <w:color w:val="000000"/>
                <w:sz w:val="16"/>
                <w:szCs w:val="16"/>
              </w:rPr>
              <w:t>i.e.</w:t>
            </w:r>
            <w:proofErr w:type="gramEnd"/>
            <w:r w:rsidRPr="002952E9">
              <w:rPr>
                <w:color w:val="000000"/>
                <w:sz w:val="16"/>
                <w:szCs w:val="16"/>
              </w:rPr>
              <w:t xml:space="preserve"> Mainstream</w:t>
            </w:r>
            <w:r w:rsidR="000E4D02" w:rsidRPr="002952E9">
              <w:rPr>
                <w:color w:val="000000"/>
                <w:sz w:val="16"/>
                <w:szCs w:val="16"/>
              </w:rPr>
              <w:t xml:space="preserve">, </w:t>
            </w:r>
            <w:r w:rsidR="00662A8C" w:rsidRPr="002952E9">
              <w:rPr>
                <w:color w:val="000000"/>
                <w:sz w:val="16"/>
                <w:szCs w:val="16"/>
              </w:rPr>
              <w:t xml:space="preserve">EHV, </w:t>
            </w:r>
            <w:r w:rsidR="000E4D02" w:rsidRPr="002952E9">
              <w:rPr>
                <w:color w:val="000000"/>
                <w:sz w:val="16"/>
                <w:szCs w:val="16"/>
              </w:rPr>
              <w:t>HCV</w:t>
            </w:r>
            <w:r w:rsidRPr="002952E9">
              <w:rPr>
                <w:color w:val="000000"/>
                <w:sz w:val="16"/>
                <w:szCs w:val="16"/>
              </w:rPr>
              <w:t>)</w:t>
            </w:r>
          </w:p>
          <w:p w14:paraId="2DDA8E98" w14:textId="77777777" w:rsidR="00D359D1" w:rsidRPr="002952E9" w:rsidRDefault="00D359D1" w:rsidP="00D359D1">
            <w:pPr>
              <w:numPr>
                <w:ilvl w:val="0"/>
                <w:numId w:val="37"/>
              </w:numPr>
              <w:rPr>
                <w:color w:val="000000"/>
                <w:sz w:val="16"/>
                <w:szCs w:val="16"/>
              </w:rPr>
            </w:pPr>
            <w:r w:rsidRPr="002952E9">
              <w:rPr>
                <w:color w:val="000000"/>
                <w:sz w:val="16"/>
                <w:szCs w:val="16"/>
              </w:rPr>
              <w:t>Place Project-Based vouchers where appropriate</w:t>
            </w:r>
          </w:p>
          <w:p w14:paraId="349D1989" w14:textId="77777777" w:rsidR="00D359D1" w:rsidRPr="002952E9" w:rsidRDefault="00D359D1" w:rsidP="00D359D1">
            <w:pPr>
              <w:numPr>
                <w:ilvl w:val="0"/>
                <w:numId w:val="37"/>
              </w:numPr>
              <w:rPr>
                <w:color w:val="000000"/>
                <w:sz w:val="16"/>
                <w:szCs w:val="16"/>
              </w:rPr>
            </w:pPr>
            <w:r w:rsidRPr="002952E9">
              <w:rPr>
                <w:color w:val="000000"/>
                <w:sz w:val="16"/>
                <w:szCs w:val="16"/>
              </w:rPr>
              <w:t>Partner with housing developers to help create more units</w:t>
            </w:r>
          </w:p>
          <w:p w14:paraId="09E97F14" w14:textId="014667ED" w:rsidR="00D359D1" w:rsidRPr="002952E9" w:rsidRDefault="00D359D1" w:rsidP="00D359D1">
            <w:pPr>
              <w:numPr>
                <w:ilvl w:val="0"/>
                <w:numId w:val="37"/>
              </w:numPr>
              <w:rPr>
                <w:color w:val="000000"/>
                <w:sz w:val="16"/>
                <w:szCs w:val="16"/>
              </w:rPr>
            </w:pPr>
            <w:r w:rsidRPr="002952E9">
              <w:rPr>
                <w:color w:val="000000"/>
                <w:sz w:val="16"/>
                <w:szCs w:val="16"/>
              </w:rPr>
              <w:t>Partner with Dane County on Affordable Housing Development Fund</w:t>
            </w:r>
          </w:p>
          <w:p w14:paraId="050DAB1F" w14:textId="786A6454" w:rsidR="006D31E8" w:rsidRPr="002952E9" w:rsidRDefault="006D31E8" w:rsidP="006D31E8">
            <w:pPr>
              <w:rPr>
                <w:color w:val="000000"/>
                <w:sz w:val="16"/>
                <w:szCs w:val="16"/>
              </w:rPr>
            </w:pPr>
          </w:p>
          <w:p w14:paraId="2497EC54" w14:textId="77777777" w:rsidR="006D31E8" w:rsidRPr="002952E9" w:rsidRDefault="006D31E8" w:rsidP="006D31E8">
            <w:pPr>
              <w:rPr>
                <w:color w:val="000000"/>
                <w:sz w:val="16"/>
                <w:szCs w:val="16"/>
              </w:rPr>
            </w:pPr>
          </w:p>
          <w:p w14:paraId="5DBCE1BA" w14:textId="77777777" w:rsidR="00D359D1" w:rsidRPr="002952E9" w:rsidRDefault="00D359D1" w:rsidP="00D359D1">
            <w:pPr>
              <w:numPr>
                <w:ilvl w:val="0"/>
                <w:numId w:val="36"/>
              </w:numPr>
              <w:rPr>
                <w:color w:val="000000"/>
                <w:sz w:val="16"/>
                <w:szCs w:val="16"/>
              </w:rPr>
            </w:pPr>
            <w:r w:rsidRPr="002952E9">
              <w:rPr>
                <w:color w:val="000000"/>
                <w:sz w:val="16"/>
                <w:szCs w:val="16"/>
              </w:rPr>
              <w:t>Promote self-sufficiency and economic opportunity</w:t>
            </w:r>
          </w:p>
          <w:p w14:paraId="322C9701" w14:textId="77777777" w:rsidR="00D359D1" w:rsidRPr="002952E9" w:rsidRDefault="00D359D1" w:rsidP="00D359D1">
            <w:pPr>
              <w:numPr>
                <w:ilvl w:val="0"/>
                <w:numId w:val="38"/>
              </w:numPr>
              <w:rPr>
                <w:color w:val="000000"/>
                <w:sz w:val="16"/>
                <w:szCs w:val="16"/>
              </w:rPr>
            </w:pPr>
            <w:r w:rsidRPr="002952E9">
              <w:rPr>
                <w:color w:val="000000"/>
                <w:sz w:val="16"/>
                <w:szCs w:val="16"/>
              </w:rPr>
              <w:t>Expand FSS program and bring staff in-house</w:t>
            </w:r>
          </w:p>
          <w:p w14:paraId="73A9D38F" w14:textId="77777777" w:rsidR="00D359D1" w:rsidRPr="002952E9" w:rsidRDefault="00D359D1" w:rsidP="00D359D1">
            <w:pPr>
              <w:numPr>
                <w:ilvl w:val="0"/>
                <w:numId w:val="36"/>
              </w:numPr>
              <w:rPr>
                <w:color w:val="000000"/>
                <w:sz w:val="16"/>
                <w:szCs w:val="16"/>
              </w:rPr>
            </w:pPr>
            <w:r w:rsidRPr="002952E9">
              <w:rPr>
                <w:color w:val="000000"/>
                <w:sz w:val="16"/>
                <w:szCs w:val="16"/>
              </w:rPr>
              <w:t>Improve the quality of housing owned by DCHA</w:t>
            </w:r>
          </w:p>
          <w:p w14:paraId="5525F8C1" w14:textId="77777777" w:rsidR="00D359D1" w:rsidRPr="002952E9" w:rsidRDefault="00D359D1" w:rsidP="00D359D1">
            <w:pPr>
              <w:numPr>
                <w:ilvl w:val="0"/>
                <w:numId w:val="36"/>
              </w:numPr>
              <w:rPr>
                <w:color w:val="000000"/>
                <w:sz w:val="16"/>
                <w:szCs w:val="16"/>
              </w:rPr>
            </w:pPr>
            <w:r w:rsidRPr="002952E9">
              <w:rPr>
                <w:color w:val="000000"/>
                <w:sz w:val="16"/>
                <w:szCs w:val="16"/>
              </w:rPr>
              <w:t>Implement best practices for asset management of DCHA portfolio</w:t>
            </w:r>
          </w:p>
          <w:p w14:paraId="2CC4DBDB" w14:textId="710BE1E2" w:rsidR="00D359D1" w:rsidRPr="002952E9" w:rsidRDefault="00D359D1" w:rsidP="00D359D1">
            <w:pPr>
              <w:numPr>
                <w:ilvl w:val="0"/>
                <w:numId w:val="36"/>
              </w:numPr>
              <w:rPr>
                <w:bCs/>
                <w:color w:val="000000"/>
                <w:sz w:val="16"/>
                <w:szCs w:val="16"/>
              </w:rPr>
            </w:pPr>
            <w:r w:rsidRPr="002952E9">
              <w:rPr>
                <w:bCs/>
                <w:sz w:val="16"/>
                <w:szCs w:val="16"/>
              </w:rPr>
              <w:t xml:space="preserve">Complete the Conversion of Public Housing </w:t>
            </w:r>
            <w:r w:rsidR="000E4D02" w:rsidRPr="002952E9">
              <w:rPr>
                <w:bCs/>
                <w:sz w:val="16"/>
                <w:szCs w:val="16"/>
              </w:rPr>
              <w:t xml:space="preserve">to a </w:t>
            </w:r>
            <w:r w:rsidRPr="002952E9">
              <w:rPr>
                <w:bCs/>
                <w:sz w:val="16"/>
                <w:szCs w:val="16"/>
              </w:rPr>
              <w:t>Tenant-Based Assistance or a RAD/Tenant Based Assistance model and exit the Public Housing program</w:t>
            </w:r>
          </w:p>
          <w:p w14:paraId="17332EF0" w14:textId="77777777" w:rsidR="00D359D1" w:rsidRPr="002952E9" w:rsidRDefault="00D359D1" w:rsidP="00D359D1">
            <w:pPr>
              <w:rPr>
                <w:bCs/>
                <w:smallCaps/>
                <w:sz w:val="16"/>
                <w:szCs w:val="16"/>
              </w:rPr>
            </w:pPr>
          </w:p>
          <w:p w14:paraId="0895323A" w14:textId="6365A400" w:rsidR="00967421" w:rsidRPr="002952E9" w:rsidRDefault="00967421" w:rsidP="00551431">
            <w:pPr>
              <w:rPr>
                <w:sz w:val="16"/>
                <w:szCs w:val="16"/>
              </w:rPr>
            </w:pPr>
          </w:p>
          <w:p w14:paraId="4D517C86" w14:textId="5E987686" w:rsidR="000E4D02" w:rsidRPr="002952E9" w:rsidRDefault="000E4D02" w:rsidP="00551431">
            <w:pPr>
              <w:rPr>
                <w:b/>
                <w:bCs/>
                <w:sz w:val="16"/>
                <w:szCs w:val="16"/>
              </w:rPr>
            </w:pPr>
            <w:r w:rsidRPr="002952E9">
              <w:rPr>
                <w:b/>
                <w:bCs/>
                <w:sz w:val="16"/>
                <w:szCs w:val="16"/>
              </w:rPr>
              <w:t>Expand HCV Program</w:t>
            </w:r>
          </w:p>
          <w:p w14:paraId="1A07E6BF" w14:textId="3C2BEEBA" w:rsidR="000E4D02" w:rsidRPr="002952E9" w:rsidRDefault="000E4D02" w:rsidP="00551431">
            <w:pPr>
              <w:rPr>
                <w:b/>
                <w:bCs/>
                <w:sz w:val="16"/>
                <w:szCs w:val="16"/>
              </w:rPr>
            </w:pPr>
          </w:p>
          <w:p w14:paraId="7C721807" w14:textId="09AC1B7E" w:rsidR="000E4D02" w:rsidRPr="002952E9" w:rsidRDefault="000E4D02" w:rsidP="00551431">
            <w:pPr>
              <w:rPr>
                <w:b/>
                <w:bCs/>
                <w:sz w:val="16"/>
                <w:szCs w:val="16"/>
              </w:rPr>
            </w:pPr>
            <w:r w:rsidRPr="002952E9">
              <w:rPr>
                <w:b/>
                <w:bCs/>
                <w:sz w:val="16"/>
                <w:szCs w:val="16"/>
              </w:rPr>
              <w:t>Mainstream Voucher Program</w:t>
            </w:r>
          </w:p>
          <w:p w14:paraId="5DCA4B36" w14:textId="34B44596" w:rsidR="00967421" w:rsidRPr="002952E9" w:rsidRDefault="00967421" w:rsidP="00551431">
            <w:pPr>
              <w:rPr>
                <w:sz w:val="16"/>
                <w:szCs w:val="16"/>
              </w:rPr>
            </w:pPr>
          </w:p>
          <w:p w14:paraId="28E83680" w14:textId="77777777" w:rsidR="00AA4800" w:rsidRPr="002952E9" w:rsidRDefault="00967421" w:rsidP="00967421">
            <w:pPr>
              <w:rPr>
                <w:bCs/>
                <w:sz w:val="16"/>
                <w:szCs w:val="16"/>
              </w:rPr>
            </w:pPr>
            <w:r w:rsidRPr="002952E9">
              <w:rPr>
                <w:bCs/>
                <w:sz w:val="16"/>
                <w:szCs w:val="16"/>
              </w:rPr>
              <w:t>DCHA has been awarded a total of 153 Mainstream Vouchers in three separate funding increments.  An initial award of 60 vouchers</w:t>
            </w:r>
            <w:r w:rsidR="0079288F" w:rsidRPr="002952E9">
              <w:rPr>
                <w:bCs/>
                <w:sz w:val="16"/>
                <w:szCs w:val="16"/>
              </w:rPr>
              <w:t>,</w:t>
            </w:r>
            <w:r w:rsidRPr="002952E9">
              <w:rPr>
                <w:bCs/>
                <w:sz w:val="16"/>
                <w:szCs w:val="16"/>
              </w:rPr>
              <w:t xml:space="preserve"> for which the increment began on 1/1/2020, an additional 18 voucher award</w:t>
            </w:r>
            <w:r w:rsidR="0079288F" w:rsidRPr="002952E9">
              <w:rPr>
                <w:bCs/>
                <w:sz w:val="16"/>
                <w:szCs w:val="16"/>
              </w:rPr>
              <w:t>,</w:t>
            </w:r>
            <w:r w:rsidRPr="002952E9">
              <w:rPr>
                <w:bCs/>
                <w:sz w:val="16"/>
                <w:szCs w:val="16"/>
              </w:rPr>
              <w:t xml:space="preserve"> for which the increment began on 10/1/2020</w:t>
            </w:r>
            <w:r w:rsidR="0079288F" w:rsidRPr="002952E9">
              <w:rPr>
                <w:bCs/>
                <w:sz w:val="16"/>
                <w:szCs w:val="16"/>
              </w:rPr>
              <w:t>,</w:t>
            </w:r>
            <w:r w:rsidRPr="002952E9">
              <w:rPr>
                <w:bCs/>
                <w:sz w:val="16"/>
                <w:szCs w:val="16"/>
              </w:rPr>
              <w:t xml:space="preserve"> and a third increment of 75 vouchers, for which the increment </w:t>
            </w:r>
            <w:r w:rsidR="00583809" w:rsidRPr="002952E9">
              <w:rPr>
                <w:bCs/>
                <w:sz w:val="16"/>
                <w:szCs w:val="16"/>
              </w:rPr>
              <w:t xml:space="preserve">began </w:t>
            </w:r>
            <w:r w:rsidRPr="002952E9">
              <w:rPr>
                <w:bCs/>
                <w:sz w:val="16"/>
                <w:szCs w:val="16"/>
              </w:rPr>
              <w:t xml:space="preserve">on 4/1/2021.  </w:t>
            </w:r>
            <w:r w:rsidR="00E4435C" w:rsidRPr="002952E9">
              <w:rPr>
                <w:bCs/>
                <w:sz w:val="16"/>
                <w:szCs w:val="16"/>
              </w:rPr>
              <w:t>As of August 202</w:t>
            </w:r>
            <w:r w:rsidR="00A0640B" w:rsidRPr="002952E9">
              <w:rPr>
                <w:bCs/>
                <w:sz w:val="16"/>
                <w:szCs w:val="16"/>
              </w:rPr>
              <w:t>2</w:t>
            </w:r>
            <w:r w:rsidR="00E4435C" w:rsidRPr="002952E9">
              <w:rPr>
                <w:bCs/>
                <w:sz w:val="16"/>
                <w:szCs w:val="16"/>
              </w:rPr>
              <w:t xml:space="preserve">, approximately </w:t>
            </w:r>
            <w:r w:rsidR="00A0640B" w:rsidRPr="002952E9">
              <w:rPr>
                <w:bCs/>
                <w:sz w:val="16"/>
                <w:szCs w:val="16"/>
              </w:rPr>
              <w:t>8</w:t>
            </w:r>
            <w:r w:rsidR="00E4435C" w:rsidRPr="002952E9">
              <w:rPr>
                <w:bCs/>
                <w:sz w:val="16"/>
                <w:szCs w:val="16"/>
              </w:rPr>
              <w:t xml:space="preserve">0 of these vouchers have been leased, with approximately </w:t>
            </w:r>
            <w:r w:rsidR="00A0640B" w:rsidRPr="002952E9">
              <w:rPr>
                <w:bCs/>
                <w:sz w:val="16"/>
                <w:szCs w:val="16"/>
              </w:rPr>
              <w:t>1</w:t>
            </w:r>
            <w:r w:rsidR="00E4435C" w:rsidRPr="002952E9">
              <w:rPr>
                <w:bCs/>
                <w:sz w:val="16"/>
                <w:szCs w:val="16"/>
              </w:rPr>
              <w:t xml:space="preserve">0 households currently shopping for units. </w:t>
            </w:r>
          </w:p>
          <w:p w14:paraId="09BC473A" w14:textId="77777777" w:rsidR="00AA4800" w:rsidRPr="002952E9" w:rsidRDefault="00AA4800" w:rsidP="00967421">
            <w:pPr>
              <w:rPr>
                <w:bCs/>
                <w:sz w:val="16"/>
                <w:szCs w:val="16"/>
              </w:rPr>
            </w:pPr>
          </w:p>
          <w:p w14:paraId="61B47D26" w14:textId="6F7F8272" w:rsidR="0079288F" w:rsidRPr="002952E9" w:rsidRDefault="00967421" w:rsidP="00967421">
            <w:pPr>
              <w:rPr>
                <w:bCs/>
                <w:sz w:val="16"/>
                <w:szCs w:val="16"/>
              </w:rPr>
            </w:pPr>
            <w:r w:rsidRPr="002952E9">
              <w:rPr>
                <w:bCs/>
                <w:sz w:val="16"/>
                <w:szCs w:val="16"/>
              </w:rPr>
              <w:t>These vouchers, which are intended to serve households containing an adult family member with a disability, are currently being issued to households on DCHA’s waiting list who meet this baseline qualification as well as preferences chosen by DCHA in our original NOFA response.  The preferences include households who are currently homeless, institutionalized, or in danger of institutionalization</w:t>
            </w:r>
            <w:r w:rsidR="000E4D02" w:rsidRPr="002952E9">
              <w:rPr>
                <w:bCs/>
                <w:sz w:val="16"/>
                <w:szCs w:val="16"/>
              </w:rPr>
              <w:t xml:space="preserve">, or </w:t>
            </w:r>
            <w:r w:rsidR="006B4106" w:rsidRPr="002952E9">
              <w:rPr>
                <w:bCs/>
                <w:sz w:val="16"/>
                <w:szCs w:val="16"/>
              </w:rPr>
              <w:t>previously homeless and currently a client in a permanent supportive housing or rapid rehousing project</w:t>
            </w:r>
            <w:r w:rsidRPr="002952E9">
              <w:rPr>
                <w:bCs/>
                <w:sz w:val="16"/>
                <w:szCs w:val="16"/>
              </w:rPr>
              <w:t xml:space="preserve">.  </w:t>
            </w:r>
            <w:r w:rsidR="0079288F" w:rsidRPr="002952E9">
              <w:rPr>
                <w:bCs/>
                <w:sz w:val="16"/>
                <w:szCs w:val="16"/>
              </w:rPr>
              <w:t>To facilitate this process, DCHA updated its HCV Admin plan and did a limited opening of its HCV waiting list</w:t>
            </w:r>
            <w:r w:rsidR="00583809" w:rsidRPr="002952E9">
              <w:rPr>
                <w:bCs/>
                <w:sz w:val="16"/>
                <w:szCs w:val="16"/>
              </w:rPr>
              <w:t xml:space="preserve"> in the fall of 202</w:t>
            </w:r>
            <w:r w:rsidR="005C6DDC" w:rsidRPr="002952E9">
              <w:rPr>
                <w:bCs/>
                <w:sz w:val="16"/>
                <w:szCs w:val="16"/>
              </w:rPr>
              <w:t xml:space="preserve">0, and an additional wait list opening is likely in Q12023 to ensure that enough households to use this resource are identified. </w:t>
            </w:r>
            <w:r w:rsidR="00583809" w:rsidRPr="002952E9">
              <w:rPr>
                <w:bCs/>
                <w:sz w:val="16"/>
                <w:szCs w:val="16"/>
              </w:rPr>
              <w:t xml:space="preserve"> </w:t>
            </w:r>
            <w:r w:rsidRPr="002952E9">
              <w:rPr>
                <w:bCs/>
                <w:sz w:val="16"/>
                <w:szCs w:val="16"/>
              </w:rPr>
              <w:t>DCHA is working with the local Continuum of Care office, as well a</w:t>
            </w:r>
            <w:r w:rsidR="005C6DDC" w:rsidRPr="002952E9">
              <w:rPr>
                <w:bCs/>
                <w:sz w:val="16"/>
                <w:szCs w:val="16"/>
              </w:rPr>
              <w:t xml:space="preserve">s </w:t>
            </w:r>
            <w:r w:rsidRPr="002952E9">
              <w:rPr>
                <w:bCs/>
                <w:sz w:val="16"/>
                <w:szCs w:val="16"/>
              </w:rPr>
              <w:t>The Road Home,</w:t>
            </w:r>
            <w:r w:rsidR="005C6DDC" w:rsidRPr="002952E9">
              <w:rPr>
                <w:bCs/>
                <w:sz w:val="16"/>
                <w:szCs w:val="16"/>
              </w:rPr>
              <w:t xml:space="preserve"> Focus Counseling, </w:t>
            </w:r>
            <w:r w:rsidRPr="002952E9">
              <w:rPr>
                <w:bCs/>
                <w:sz w:val="16"/>
                <w:szCs w:val="16"/>
              </w:rPr>
              <w:t xml:space="preserve">and the Corporation </w:t>
            </w:r>
            <w:r w:rsidR="000E4D02" w:rsidRPr="002952E9">
              <w:rPr>
                <w:bCs/>
                <w:sz w:val="16"/>
                <w:szCs w:val="16"/>
              </w:rPr>
              <w:t>for</w:t>
            </w:r>
            <w:r w:rsidRPr="002952E9">
              <w:rPr>
                <w:bCs/>
                <w:sz w:val="16"/>
                <w:szCs w:val="16"/>
              </w:rPr>
              <w:t xml:space="preserve"> Supportive Housing </w:t>
            </w:r>
            <w:r w:rsidR="000E4D02" w:rsidRPr="002952E9">
              <w:rPr>
                <w:bCs/>
                <w:sz w:val="16"/>
                <w:szCs w:val="16"/>
              </w:rPr>
              <w:t xml:space="preserve">(CSH) </w:t>
            </w:r>
            <w:r w:rsidRPr="002952E9">
              <w:rPr>
                <w:bCs/>
                <w:sz w:val="16"/>
                <w:szCs w:val="16"/>
              </w:rPr>
              <w:t xml:space="preserve">to ensure that voucher holders are successful in obtaining housing and that the services that we agreed to provide in the NOFA are available.  </w:t>
            </w:r>
          </w:p>
          <w:p w14:paraId="35B89C5E" w14:textId="77777777" w:rsidR="00FB6C20" w:rsidRPr="002952E9" w:rsidRDefault="00FB6C20" w:rsidP="00967421">
            <w:pPr>
              <w:rPr>
                <w:bCs/>
                <w:sz w:val="16"/>
                <w:szCs w:val="16"/>
              </w:rPr>
            </w:pPr>
          </w:p>
          <w:p w14:paraId="4D7FF546" w14:textId="7A630F0F" w:rsidR="00583809" w:rsidRPr="002952E9" w:rsidRDefault="00FB6C20" w:rsidP="00967421">
            <w:pPr>
              <w:rPr>
                <w:bCs/>
                <w:sz w:val="16"/>
                <w:szCs w:val="16"/>
              </w:rPr>
            </w:pPr>
            <w:r w:rsidRPr="002952E9">
              <w:rPr>
                <w:bCs/>
                <w:sz w:val="16"/>
                <w:szCs w:val="16"/>
              </w:rPr>
              <w:t>Issuing</w:t>
            </w:r>
            <w:r w:rsidR="00967421" w:rsidRPr="002952E9">
              <w:rPr>
                <w:bCs/>
                <w:sz w:val="16"/>
                <w:szCs w:val="16"/>
              </w:rPr>
              <w:t xml:space="preserve"> and leasing of these vouchers is a major initiative for DCHA. This resource expands </w:t>
            </w:r>
            <w:r w:rsidR="0079288F" w:rsidRPr="002952E9">
              <w:rPr>
                <w:bCs/>
                <w:sz w:val="16"/>
                <w:szCs w:val="16"/>
              </w:rPr>
              <w:t xml:space="preserve">access to </w:t>
            </w:r>
            <w:r w:rsidR="00967421" w:rsidRPr="002952E9">
              <w:rPr>
                <w:bCs/>
                <w:sz w:val="16"/>
                <w:szCs w:val="16"/>
              </w:rPr>
              <w:t xml:space="preserve">available </w:t>
            </w:r>
            <w:r w:rsidR="0079288F" w:rsidRPr="002952E9">
              <w:rPr>
                <w:bCs/>
                <w:sz w:val="16"/>
                <w:szCs w:val="16"/>
              </w:rPr>
              <w:t>housing for some to the</w:t>
            </w:r>
            <w:r w:rsidR="00967421" w:rsidRPr="002952E9">
              <w:rPr>
                <w:bCs/>
                <w:sz w:val="16"/>
                <w:szCs w:val="16"/>
              </w:rPr>
              <w:t xml:space="preserve"> low</w:t>
            </w:r>
            <w:r w:rsidR="0079288F" w:rsidRPr="002952E9">
              <w:rPr>
                <w:bCs/>
                <w:sz w:val="16"/>
                <w:szCs w:val="16"/>
              </w:rPr>
              <w:t xml:space="preserve">est </w:t>
            </w:r>
            <w:r w:rsidR="00967421" w:rsidRPr="002952E9">
              <w:rPr>
                <w:bCs/>
                <w:sz w:val="16"/>
                <w:szCs w:val="16"/>
              </w:rPr>
              <w:t xml:space="preserve">income people in our community and has been valuable as a tool to help us build stronger relationships with the </w:t>
            </w:r>
            <w:r w:rsidR="0079288F" w:rsidRPr="002952E9">
              <w:rPr>
                <w:bCs/>
                <w:sz w:val="16"/>
                <w:szCs w:val="16"/>
              </w:rPr>
              <w:t>Continuum of Care office and several local nonprofit groups</w:t>
            </w:r>
            <w:r w:rsidR="000E4D02" w:rsidRPr="002952E9">
              <w:rPr>
                <w:bCs/>
                <w:sz w:val="16"/>
                <w:szCs w:val="16"/>
              </w:rPr>
              <w:t>, such as The Road Home and the Salvation Army</w:t>
            </w:r>
            <w:r w:rsidR="0079288F" w:rsidRPr="002952E9">
              <w:rPr>
                <w:bCs/>
                <w:sz w:val="16"/>
                <w:szCs w:val="16"/>
              </w:rPr>
              <w:t xml:space="preserve">.  </w:t>
            </w:r>
            <w:r w:rsidR="00AA4800" w:rsidRPr="002952E9">
              <w:rPr>
                <w:bCs/>
                <w:sz w:val="16"/>
                <w:szCs w:val="16"/>
              </w:rPr>
              <w:t xml:space="preserve">We were recently awarded </w:t>
            </w:r>
            <w:r w:rsidR="00496E30" w:rsidRPr="002952E9">
              <w:rPr>
                <w:bCs/>
                <w:sz w:val="16"/>
                <w:szCs w:val="16"/>
              </w:rPr>
              <w:t xml:space="preserve">extraordinary administrative fee </w:t>
            </w:r>
            <w:r w:rsidR="00CB41E2" w:rsidRPr="002952E9">
              <w:rPr>
                <w:bCs/>
                <w:sz w:val="16"/>
                <w:szCs w:val="16"/>
              </w:rPr>
              <w:t>funding by HUD in the amount of $</w:t>
            </w:r>
            <w:r w:rsidR="00496E30" w:rsidRPr="002952E9">
              <w:rPr>
                <w:bCs/>
                <w:sz w:val="16"/>
                <w:szCs w:val="16"/>
              </w:rPr>
              <w:t>76,500.  These funds can be used to help remove leasing barriers for these units by providing landlord incentives, security deposit help, etc. in an amount up to $500 per unit.</w:t>
            </w:r>
            <w:r w:rsidR="00CB41E2" w:rsidRPr="002952E9">
              <w:rPr>
                <w:bCs/>
                <w:sz w:val="16"/>
                <w:szCs w:val="16"/>
              </w:rPr>
              <w:t xml:space="preserve">  </w:t>
            </w:r>
            <w:r w:rsidR="0079288F" w:rsidRPr="002952E9">
              <w:rPr>
                <w:bCs/>
                <w:sz w:val="16"/>
                <w:szCs w:val="16"/>
              </w:rPr>
              <w:t>We are als</w:t>
            </w:r>
            <w:r w:rsidR="005C6DDC" w:rsidRPr="002952E9">
              <w:rPr>
                <w:bCs/>
                <w:sz w:val="16"/>
                <w:szCs w:val="16"/>
              </w:rPr>
              <w:t>o</w:t>
            </w:r>
            <w:r w:rsidR="00AA4800" w:rsidRPr="002952E9">
              <w:rPr>
                <w:bCs/>
                <w:sz w:val="16"/>
                <w:szCs w:val="16"/>
              </w:rPr>
              <w:t xml:space="preserve"> working with HUD to enhance </w:t>
            </w:r>
            <w:r w:rsidR="0079288F" w:rsidRPr="002952E9">
              <w:rPr>
                <w:bCs/>
                <w:sz w:val="16"/>
                <w:szCs w:val="16"/>
              </w:rPr>
              <w:t xml:space="preserve">landlord outreach as a part of this initiative to identify and expand available units for our voucher holders shopping for housing. </w:t>
            </w:r>
          </w:p>
          <w:p w14:paraId="5A9BAE25" w14:textId="2174A95E" w:rsidR="00583809" w:rsidRPr="002952E9" w:rsidRDefault="00583809" w:rsidP="00967421">
            <w:pPr>
              <w:rPr>
                <w:bCs/>
                <w:sz w:val="16"/>
                <w:szCs w:val="16"/>
              </w:rPr>
            </w:pPr>
          </w:p>
          <w:p w14:paraId="13925285" w14:textId="19B0C584" w:rsidR="00583809" w:rsidRPr="002952E9" w:rsidRDefault="00583809" w:rsidP="00967421">
            <w:pPr>
              <w:rPr>
                <w:bCs/>
                <w:sz w:val="16"/>
                <w:szCs w:val="16"/>
              </w:rPr>
            </w:pPr>
            <w:r w:rsidRPr="002952E9">
              <w:rPr>
                <w:b/>
                <w:sz w:val="16"/>
                <w:szCs w:val="16"/>
              </w:rPr>
              <w:t>Emergency Housing Vouchers (EHV)</w:t>
            </w:r>
          </w:p>
          <w:p w14:paraId="2D960A08" w14:textId="700BADC5" w:rsidR="00583809" w:rsidRPr="002952E9" w:rsidRDefault="00583809" w:rsidP="00967421">
            <w:pPr>
              <w:rPr>
                <w:bCs/>
                <w:sz w:val="16"/>
                <w:szCs w:val="16"/>
              </w:rPr>
            </w:pPr>
          </w:p>
          <w:p w14:paraId="03B1F950" w14:textId="1893729E" w:rsidR="00583809" w:rsidRPr="002952E9" w:rsidRDefault="00583809" w:rsidP="00967421">
            <w:pPr>
              <w:rPr>
                <w:bCs/>
                <w:sz w:val="16"/>
                <w:szCs w:val="16"/>
              </w:rPr>
            </w:pPr>
            <w:r w:rsidRPr="002952E9">
              <w:rPr>
                <w:bCs/>
                <w:sz w:val="16"/>
                <w:szCs w:val="16"/>
              </w:rPr>
              <w:t>DCHA was awarded 45 Emergency Housing Vouchers (EHV) in a funding increment that began on 7/1/202</w:t>
            </w:r>
            <w:r w:rsidR="00232AE0" w:rsidRPr="002952E9">
              <w:rPr>
                <w:bCs/>
                <w:sz w:val="16"/>
                <w:szCs w:val="16"/>
              </w:rPr>
              <w:t>1</w:t>
            </w:r>
            <w:r w:rsidR="008C6015" w:rsidRPr="002952E9">
              <w:rPr>
                <w:bCs/>
                <w:sz w:val="16"/>
                <w:szCs w:val="16"/>
              </w:rPr>
              <w:t xml:space="preserve">, </w:t>
            </w:r>
            <w:r w:rsidRPr="002952E9">
              <w:rPr>
                <w:bCs/>
                <w:sz w:val="16"/>
                <w:szCs w:val="16"/>
              </w:rPr>
              <w:t xml:space="preserve">and </w:t>
            </w:r>
            <w:r w:rsidR="008C6015" w:rsidRPr="002952E9">
              <w:rPr>
                <w:bCs/>
                <w:sz w:val="16"/>
                <w:szCs w:val="16"/>
              </w:rPr>
              <w:t xml:space="preserve">the agency </w:t>
            </w:r>
            <w:proofErr w:type="gramStart"/>
            <w:r w:rsidRPr="002952E9">
              <w:rPr>
                <w:bCs/>
                <w:sz w:val="16"/>
                <w:szCs w:val="16"/>
              </w:rPr>
              <w:t>entered into</w:t>
            </w:r>
            <w:proofErr w:type="gramEnd"/>
            <w:r w:rsidRPr="002952E9">
              <w:rPr>
                <w:bCs/>
                <w:sz w:val="16"/>
                <w:szCs w:val="16"/>
              </w:rPr>
              <w:t xml:space="preserve"> a Memorandum of Understanding</w:t>
            </w:r>
            <w:r w:rsidR="00E4435C" w:rsidRPr="002952E9">
              <w:rPr>
                <w:bCs/>
                <w:sz w:val="16"/>
                <w:szCs w:val="16"/>
              </w:rPr>
              <w:t xml:space="preserve"> (MOU)</w:t>
            </w:r>
            <w:r w:rsidRPr="002952E9">
              <w:rPr>
                <w:bCs/>
                <w:sz w:val="16"/>
                <w:szCs w:val="16"/>
              </w:rPr>
              <w:t xml:space="preserve"> with </w:t>
            </w:r>
            <w:r w:rsidR="00232AE0" w:rsidRPr="002952E9">
              <w:rPr>
                <w:bCs/>
                <w:sz w:val="16"/>
                <w:szCs w:val="16"/>
              </w:rPr>
              <w:t>the Community Development Authority of the City of Madison (CDA) and the Homeless Services Consortium of Dane County (HSC) to govern our EHV program in Dane County.  The eligible populations for these vouchers are individuals or families that are homeless, at risk of homelessness, fleeing, or attempting to flee, domestic violence, dating violence, sexual assault, stalking or human trafficking</w:t>
            </w:r>
            <w:r w:rsidR="00972111" w:rsidRPr="002952E9">
              <w:rPr>
                <w:bCs/>
                <w:sz w:val="16"/>
                <w:szCs w:val="16"/>
              </w:rPr>
              <w:t xml:space="preserve">, or recently homeless and for whom providing rental assistance will prevent the family’s homelessness or having high risk of housing instability.  Eligible households </w:t>
            </w:r>
            <w:r w:rsidR="00DE7837" w:rsidRPr="002952E9">
              <w:rPr>
                <w:bCs/>
                <w:sz w:val="16"/>
                <w:szCs w:val="16"/>
              </w:rPr>
              <w:t>are</w:t>
            </w:r>
            <w:r w:rsidR="00972111" w:rsidRPr="002952E9">
              <w:rPr>
                <w:bCs/>
                <w:sz w:val="16"/>
                <w:szCs w:val="16"/>
              </w:rPr>
              <w:t xml:space="preserve"> referred to DCHA and the CDA by the HSC.  The MOU indicates that DCHA’s 45 vouchers will be targeted toward families.  Of the total, 15 to 20 of DCHA’s vouchers </w:t>
            </w:r>
            <w:r w:rsidR="00DE7837" w:rsidRPr="002952E9">
              <w:rPr>
                <w:bCs/>
                <w:sz w:val="16"/>
                <w:szCs w:val="16"/>
              </w:rPr>
              <w:t>are</w:t>
            </w:r>
            <w:r w:rsidR="00972111" w:rsidRPr="002952E9">
              <w:rPr>
                <w:bCs/>
                <w:sz w:val="16"/>
                <w:szCs w:val="16"/>
              </w:rPr>
              <w:t xml:space="preserve"> targeted towards households currently experiencing homelessness and on the Coordinated Entry housing priority list and/or currently fleeing domestic violence with a child under the age of 5.  Case management</w:t>
            </w:r>
            <w:r w:rsidR="00521979" w:rsidRPr="002952E9">
              <w:rPr>
                <w:bCs/>
                <w:sz w:val="16"/>
                <w:szCs w:val="16"/>
              </w:rPr>
              <w:t xml:space="preserve"> is being</w:t>
            </w:r>
            <w:r w:rsidR="00972111" w:rsidRPr="002952E9">
              <w:rPr>
                <w:bCs/>
                <w:sz w:val="16"/>
                <w:szCs w:val="16"/>
              </w:rPr>
              <w:t xml:space="preserve"> provided by The Road Home and Domestic Abuse Intervention Services (DAIS).  The remaining 25 to 30 EHV’s in Dane County’s voucher award will be used for households with children for a move-on strategy from Permanent Supportive Housing (PSH) Rapid Re-Housing, or Transitional Housing, with PSH programs prioritized the highest.  </w:t>
            </w:r>
            <w:r w:rsidR="008C6015" w:rsidRPr="002952E9">
              <w:rPr>
                <w:bCs/>
                <w:sz w:val="16"/>
                <w:szCs w:val="16"/>
              </w:rPr>
              <w:t xml:space="preserve">The HSC referrals to DCHA for this program </w:t>
            </w:r>
            <w:r w:rsidR="00DE7837" w:rsidRPr="002952E9">
              <w:rPr>
                <w:bCs/>
                <w:sz w:val="16"/>
                <w:szCs w:val="16"/>
              </w:rPr>
              <w:t>began in the fall of 2021, and as of August 2022, 39 of our 45 vouchers are in use</w:t>
            </w:r>
            <w:r w:rsidR="00BA1E7F" w:rsidRPr="002952E9">
              <w:rPr>
                <w:bCs/>
                <w:sz w:val="16"/>
                <w:szCs w:val="16"/>
              </w:rPr>
              <w:t xml:space="preserve"> or have an ac</w:t>
            </w:r>
            <w:r w:rsidR="00DE7837" w:rsidRPr="002952E9">
              <w:rPr>
                <w:bCs/>
                <w:sz w:val="16"/>
                <w:szCs w:val="16"/>
              </w:rPr>
              <w:t>tive request for tenancy.</w:t>
            </w:r>
          </w:p>
          <w:p w14:paraId="1E3FFBFE" w14:textId="77777777" w:rsidR="00DE7837" w:rsidRPr="002952E9" w:rsidRDefault="00DE7837" w:rsidP="00967421">
            <w:pPr>
              <w:rPr>
                <w:bCs/>
                <w:sz w:val="16"/>
                <w:szCs w:val="16"/>
              </w:rPr>
            </w:pPr>
          </w:p>
          <w:p w14:paraId="339C5F0C" w14:textId="6E2C63A9" w:rsidR="005C6C06" w:rsidRPr="002952E9" w:rsidRDefault="002A4A7F" w:rsidP="00967421">
            <w:pPr>
              <w:rPr>
                <w:bCs/>
                <w:sz w:val="16"/>
                <w:szCs w:val="16"/>
              </w:rPr>
            </w:pPr>
            <w:r w:rsidRPr="002952E9">
              <w:rPr>
                <w:bCs/>
                <w:sz w:val="16"/>
                <w:szCs w:val="16"/>
              </w:rPr>
              <w:t xml:space="preserve">The Madison CDA and DCHA reached an agreement that </w:t>
            </w:r>
            <w:r w:rsidR="000E4D02" w:rsidRPr="002952E9">
              <w:rPr>
                <w:bCs/>
                <w:sz w:val="16"/>
                <w:szCs w:val="16"/>
              </w:rPr>
              <w:t xml:space="preserve">DCHA’s </w:t>
            </w:r>
            <w:r w:rsidRPr="002952E9">
              <w:rPr>
                <w:bCs/>
                <w:sz w:val="16"/>
                <w:szCs w:val="16"/>
              </w:rPr>
              <w:t xml:space="preserve">Mainstream </w:t>
            </w:r>
            <w:r w:rsidR="00583809" w:rsidRPr="002952E9">
              <w:rPr>
                <w:bCs/>
                <w:sz w:val="16"/>
                <w:szCs w:val="16"/>
              </w:rPr>
              <w:t xml:space="preserve">and EHV </w:t>
            </w:r>
            <w:r w:rsidRPr="002952E9">
              <w:rPr>
                <w:bCs/>
                <w:sz w:val="16"/>
                <w:szCs w:val="16"/>
              </w:rPr>
              <w:t>voucher holders may lease</w:t>
            </w:r>
            <w:r w:rsidR="003C366B" w:rsidRPr="002952E9">
              <w:rPr>
                <w:bCs/>
                <w:sz w:val="16"/>
                <w:szCs w:val="16"/>
              </w:rPr>
              <w:t xml:space="preserve"> </w:t>
            </w:r>
            <w:r w:rsidR="000E4D02" w:rsidRPr="002952E9">
              <w:rPr>
                <w:bCs/>
                <w:sz w:val="16"/>
                <w:szCs w:val="16"/>
              </w:rPr>
              <w:t>anywhere in Dane County</w:t>
            </w:r>
            <w:r w:rsidR="00BA1E7F" w:rsidRPr="002952E9">
              <w:rPr>
                <w:bCs/>
                <w:sz w:val="16"/>
                <w:szCs w:val="16"/>
              </w:rPr>
              <w:t>,</w:t>
            </w:r>
            <w:r w:rsidR="000E4D02" w:rsidRPr="002952E9">
              <w:rPr>
                <w:bCs/>
                <w:sz w:val="16"/>
                <w:szCs w:val="16"/>
              </w:rPr>
              <w:t xml:space="preserve"> including the City of Madison</w:t>
            </w:r>
            <w:r w:rsidR="00BA1E7F" w:rsidRPr="002952E9">
              <w:rPr>
                <w:bCs/>
                <w:sz w:val="16"/>
                <w:szCs w:val="16"/>
              </w:rPr>
              <w:t>,</w:t>
            </w:r>
            <w:r w:rsidR="000E4D02" w:rsidRPr="002952E9">
              <w:rPr>
                <w:bCs/>
                <w:sz w:val="16"/>
                <w:szCs w:val="16"/>
              </w:rPr>
              <w:t xml:space="preserve"> </w:t>
            </w:r>
            <w:r w:rsidR="00BA1E7F" w:rsidRPr="002952E9">
              <w:rPr>
                <w:bCs/>
                <w:sz w:val="16"/>
                <w:szCs w:val="16"/>
              </w:rPr>
              <w:t xml:space="preserve">to </w:t>
            </w:r>
            <w:r w:rsidR="000E4D02" w:rsidRPr="002952E9">
              <w:rPr>
                <w:bCs/>
                <w:sz w:val="16"/>
                <w:szCs w:val="16"/>
              </w:rPr>
              <w:t xml:space="preserve">take advantage of Madison’s public transit and more convenient access to services.  </w:t>
            </w:r>
            <w:r w:rsidR="00DE7837" w:rsidRPr="002952E9">
              <w:rPr>
                <w:bCs/>
                <w:sz w:val="16"/>
                <w:szCs w:val="16"/>
              </w:rPr>
              <w:t xml:space="preserve">The Madison CDA is not treating the County as a single market, and we have </w:t>
            </w:r>
            <w:r w:rsidR="00BA1E7F" w:rsidRPr="002952E9">
              <w:rPr>
                <w:bCs/>
                <w:sz w:val="16"/>
                <w:szCs w:val="16"/>
              </w:rPr>
              <w:t>received</w:t>
            </w:r>
            <w:r w:rsidR="00521979" w:rsidRPr="002952E9">
              <w:rPr>
                <w:bCs/>
                <w:sz w:val="16"/>
                <w:szCs w:val="16"/>
              </w:rPr>
              <w:t>,</w:t>
            </w:r>
            <w:r w:rsidR="00BA1E7F" w:rsidRPr="002952E9">
              <w:rPr>
                <w:bCs/>
                <w:sz w:val="16"/>
                <w:szCs w:val="16"/>
              </w:rPr>
              <w:t xml:space="preserve"> </w:t>
            </w:r>
            <w:r w:rsidR="00DE7837" w:rsidRPr="002952E9">
              <w:rPr>
                <w:bCs/>
                <w:sz w:val="16"/>
                <w:szCs w:val="16"/>
              </w:rPr>
              <w:t>and continue to receive</w:t>
            </w:r>
            <w:r w:rsidR="00521979" w:rsidRPr="002952E9">
              <w:rPr>
                <w:bCs/>
                <w:sz w:val="16"/>
                <w:szCs w:val="16"/>
              </w:rPr>
              <w:t>,</w:t>
            </w:r>
            <w:r w:rsidR="00DE7837" w:rsidRPr="002952E9">
              <w:rPr>
                <w:bCs/>
                <w:sz w:val="16"/>
                <w:szCs w:val="16"/>
              </w:rPr>
              <w:t xml:space="preserve"> a substantial </w:t>
            </w:r>
            <w:r w:rsidR="00BA1E7F" w:rsidRPr="002952E9">
              <w:rPr>
                <w:bCs/>
                <w:sz w:val="16"/>
                <w:szCs w:val="16"/>
              </w:rPr>
              <w:t>number of EHV clients who are porting to our jurisdiction from the City of Madison.</w:t>
            </w:r>
            <w:r w:rsidR="005C6C06" w:rsidRPr="002952E9">
              <w:rPr>
                <w:bCs/>
                <w:sz w:val="16"/>
                <w:szCs w:val="16"/>
              </w:rPr>
              <w:t xml:space="preserve">  We absorbed approximately five of these EHV port in household</w:t>
            </w:r>
            <w:r w:rsidR="00521979" w:rsidRPr="002952E9">
              <w:rPr>
                <w:bCs/>
                <w:sz w:val="16"/>
                <w:szCs w:val="16"/>
              </w:rPr>
              <w:t>s</w:t>
            </w:r>
            <w:r w:rsidR="005C6C06" w:rsidRPr="002952E9">
              <w:rPr>
                <w:bCs/>
                <w:sz w:val="16"/>
                <w:szCs w:val="16"/>
              </w:rPr>
              <w:t xml:space="preserve"> and are currently billing the CDA for additional port-ins to preserve </w:t>
            </w:r>
            <w:r w:rsidR="00521979" w:rsidRPr="002952E9">
              <w:rPr>
                <w:bCs/>
                <w:sz w:val="16"/>
                <w:szCs w:val="16"/>
              </w:rPr>
              <w:t xml:space="preserve">vouchers </w:t>
            </w:r>
            <w:r w:rsidR="005C6C06" w:rsidRPr="002952E9">
              <w:rPr>
                <w:bCs/>
                <w:sz w:val="16"/>
                <w:szCs w:val="16"/>
              </w:rPr>
              <w:t xml:space="preserve">for the families that </w:t>
            </w:r>
            <w:r w:rsidR="00521979" w:rsidRPr="002952E9">
              <w:rPr>
                <w:bCs/>
                <w:sz w:val="16"/>
                <w:szCs w:val="16"/>
              </w:rPr>
              <w:t>were originally referred to us by the CoC.</w:t>
            </w:r>
          </w:p>
          <w:p w14:paraId="755BD68A" w14:textId="77777777" w:rsidR="005C6C06" w:rsidRPr="002952E9" w:rsidRDefault="005C6C06" w:rsidP="00967421">
            <w:pPr>
              <w:rPr>
                <w:bCs/>
                <w:sz w:val="16"/>
                <w:szCs w:val="16"/>
              </w:rPr>
            </w:pPr>
          </w:p>
          <w:p w14:paraId="28F09EE8" w14:textId="10F72BE6" w:rsidR="00967421" w:rsidRPr="002952E9" w:rsidRDefault="0079288F" w:rsidP="00967421">
            <w:pPr>
              <w:rPr>
                <w:bCs/>
                <w:sz w:val="16"/>
                <w:szCs w:val="16"/>
              </w:rPr>
            </w:pPr>
            <w:r w:rsidRPr="002952E9">
              <w:rPr>
                <w:bCs/>
                <w:sz w:val="16"/>
                <w:szCs w:val="16"/>
              </w:rPr>
              <w:t>We have added a landlord information section to our website and will continue to work</w:t>
            </w:r>
            <w:r w:rsidR="00DE7837" w:rsidRPr="002952E9">
              <w:rPr>
                <w:bCs/>
                <w:sz w:val="16"/>
                <w:szCs w:val="16"/>
              </w:rPr>
              <w:t xml:space="preserve"> with HUD</w:t>
            </w:r>
            <w:r w:rsidRPr="002952E9">
              <w:rPr>
                <w:bCs/>
                <w:sz w:val="16"/>
                <w:szCs w:val="16"/>
              </w:rPr>
              <w:t xml:space="preserve"> to expand communication and marketing to landlords for</w:t>
            </w:r>
            <w:r w:rsidR="00DE7837" w:rsidRPr="002952E9">
              <w:rPr>
                <w:bCs/>
                <w:sz w:val="16"/>
                <w:szCs w:val="16"/>
              </w:rPr>
              <w:t xml:space="preserve"> EHV,</w:t>
            </w:r>
            <w:r w:rsidRPr="002952E9">
              <w:rPr>
                <w:bCs/>
                <w:sz w:val="16"/>
                <w:szCs w:val="16"/>
              </w:rPr>
              <w:t xml:space="preserve"> Mainstream and our general HCV program.</w:t>
            </w:r>
          </w:p>
          <w:p w14:paraId="2B577B81" w14:textId="5629BEAE" w:rsidR="0079288F" w:rsidRPr="002952E9" w:rsidRDefault="0079288F" w:rsidP="00967421">
            <w:pPr>
              <w:rPr>
                <w:bCs/>
                <w:sz w:val="16"/>
                <w:szCs w:val="16"/>
              </w:rPr>
            </w:pPr>
          </w:p>
          <w:p w14:paraId="1A85099B" w14:textId="089DD8A2" w:rsidR="0079288F" w:rsidRPr="002952E9" w:rsidRDefault="0079288F" w:rsidP="00967421">
            <w:pPr>
              <w:rPr>
                <w:b/>
                <w:sz w:val="16"/>
                <w:szCs w:val="16"/>
              </w:rPr>
            </w:pPr>
            <w:r w:rsidRPr="002952E9">
              <w:rPr>
                <w:b/>
                <w:sz w:val="16"/>
                <w:szCs w:val="16"/>
              </w:rPr>
              <w:t>Project Based Vouchers</w:t>
            </w:r>
          </w:p>
          <w:p w14:paraId="2A8C64D8" w14:textId="67056977" w:rsidR="0079288F" w:rsidRPr="002952E9" w:rsidRDefault="0079288F" w:rsidP="00967421">
            <w:pPr>
              <w:rPr>
                <w:b/>
                <w:sz w:val="16"/>
                <w:szCs w:val="16"/>
              </w:rPr>
            </w:pPr>
          </w:p>
          <w:p w14:paraId="354E245D" w14:textId="3F8E8CEC" w:rsidR="007A2735" w:rsidRPr="002952E9" w:rsidRDefault="0079288F" w:rsidP="00967421">
            <w:pPr>
              <w:rPr>
                <w:bCs/>
                <w:sz w:val="16"/>
                <w:szCs w:val="16"/>
              </w:rPr>
            </w:pPr>
            <w:r w:rsidRPr="002952E9">
              <w:rPr>
                <w:bCs/>
                <w:sz w:val="16"/>
                <w:szCs w:val="16"/>
              </w:rPr>
              <w:t>DCHA has extensively used PBV’s to ensure that very low-income households have access to units in new affordable housing that is being constructed in Dane County.  In 202</w:t>
            </w:r>
            <w:r w:rsidR="005C6C06" w:rsidRPr="002952E9">
              <w:rPr>
                <w:bCs/>
                <w:sz w:val="16"/>
                <w:szCs w:val="16"/>
              </w:rPr>
              <w:t>2</w:t>
            </w:r>
            <w:r w:rsidRPr="002952E9">
              <w:rPr>
                <w:bCs/>
                <w:sz w:val="16"/>
                <w:szCs w:val="16"/>
              </w:rPr>
              <w:t xml:space="preserve">, </w:t>
            </w:r>
            <w:r w:rsidR="005C6C06" w:rsidRPr="002952E9">
              <w:rPr>
                <w:bCs/>
                <w:sz w:val="16"/>
                <w:szCs w:val="16"/>
              </w:rPr>
              <w:t>Limestone Ridge in Fitchburg, developed by JT Klein</w:t>
            </w:r>
            <w:r w:rsidR="00F13120" w:rsidRPr="002952E9">
              <w:rPr>
                <w:bCs/>
                <w:sz w:val="16"/>
                <w:szCs w:val="16"/>
              </w:rPr>
              <w:t xml:space="preserve">, </w:t>
            </w:r>
            <w:r w:rsidR="00222289" w:rsidRPr="002952E9">
              <w:rPr>
                <w:bCs/>
                <w:sz w:val="16"/>
                <w:szCs w:val="16"/>
              </w:rPr>
              <w:t xml:space="preserve">opened in April 2022, </w:t>
            </w:r>
            <w:r w:rsidR="00F13120" w:rsidRPr="002952E9">
              <w:rPr>
                <w:bCs/>
                <w:sz w:val="16"/>
                <w:szCs w:val="16"/>
              </w:rPr>
              <w:t>and Bayview Townhouses in the City of Madison, developed by the Bayview Foundation and Horizon Developmen</w:t>
            </w:r>
            <w:r w:rsidR="00222289" w:rsidRPr="002952E9">
              <w:rPr>
                <w:bCs/>
                <w:sz w:val="16"/>
                <w:szCs w:val="16"/>
              </w:rPr>
              <w:t>t, is anticipated to open in September 2022.</w:t>
            </w:r>
            <w:r w:rsidR="00F13120" w:rsidRPr="002952E9">
              <w:rPr>
                <w:bCs/>
                <w:sz w:val="16"/>
                <w:szCs w:val="16"/>
              </w:rPr>
              <w:t xml:space="preserve"> As of August 2022, Limestone Ridge is under a HAP contract and actively leasing, and </w:t>
            </w:r>
            <w:proofErr w:type="spellStart"/>
            <w:r w:rsidR="00F13120" w:rsidRPr="002952E9">
              <w:rPr>
                <w:bCs/>
                <w:sz w:val="16"/>
                <w:szCs w:val="16"/>
              </w:rPr>
              <w:t>Bavview</w:t>
            </w:r>
            <w:proofErr w:type="spellEnd"/>
            <w:r w:rsidR="00F13120" w:rsidRPr="002952E9">
              <w:rPr>
                <w:bCs/>
                <w:sz w:val="16"/>
                <w:szCs w:val="16"/>
              </w:rPr>
              <w:t xml:space="preserve"> Townhouses in anticipated to </w:t>
            </w:r>
            <w:proofErr w:type="gramStart"/>
            <w:r w:rsidR="00F13120" w:rsidRPr="002952E9">
              <w:rPr>
                <w:bCs/>
                <w:sz w:val="16"/>
                <w:szCs w:val="16"/>
              </w:rPr>
              <w:t>enter into</w:t>
            </w:r>
            <w:proofErr w:type="gramEnd"/>
            <w:r w:rsidR="00F13120" w:rsidRPr="002952E9">
              <w:rPr>
                <w:bCs/>
                <w:sz w:val="16"/>
                <w:szCs w:val="16"/>
              </w:rPr>
              <w:t xml:space="preserve"> a HAP contract </w:t>
            </w:r>
            <w:r w:rsidR="006D31E8" w:rsidRPr="002952E9">
              <w:rPr>
                <w:bCs/>
                <w:sz w:val="16"/>
                <w:szCs w:val="16"/>
              </w:rPr>
              <w:t xml:space="preserve">with DCHA </w:t>
            </w:r>
            <w:r w:rsidR="00F13120" w:rsidRPr="002952E9">
              <w:rPr>
                <w:bCs/>
                <w:sz w:val="16"/>
                <w:szCs w:val="16"/>
              </w:rPr>
              <w:t>in September 2022.</w:t>
            </w:r>
            <w:r w:rsidR="00222289" w:rsidRPr="002952E9">
              <w:rPr>
                <w:bCs/>
                <w:sz w:val="16"/>
                <w:szCs w:val="16"/>
              </w:rPr>
              <w:t xml:space="preserve">  </w:t>
            </w:r>
            <w:r w:rsidR="005C6C06" w:rsidRPr="002952E9">
              <w:rPr>
                <w:bCs/>
                <w:sz w:val="16"/>
                <w:szCs w:val="16"/>
              </w:rPr>
              <w:t>Bot</w:t>
            </w:r>
            <w:r w:rsidR="006D31E8" w:rsidRPr="002952E9">
              <w:rPr>
                <w:bCs/>
                <w:sz w:val="16"/>
                <w:szCs w:val="16"/>
              </w:rPr>
              <w:t>h</w:t>
            </w:r>
            <w:r w:rsidR="009924C0" w:rsidRPr="002952E9">
              <w:rPr>
                <w:bCs/>
                <w:sz w:val="16"/>
                <w:szCs w:val="16"/>
              </w:rPr>
              <w:t xml:space="preserve"> developments </w:t>
            </w:r>
            <w:r w:rsidR="00586F38" w:rsidRPr="002952E9">
              <w:rPr>
                <w:bCs/>
                <w:sz w:val="16"/>
                <w:szCs w:val="16"/>
              </w:rPr>
              <w:t>were</w:t>
            </w:r>
            <w:r w:rsidR="009924C0" w:rsidRPr="002952E9">
              <w:rPr>
                <w:bCs/>
                <w:sz w:val="16"/>
                <w:szCs w:val="16"/>
              </w:rPr>
              <w:t xml:space="preserve"> awarded PBV’s in</w:t>
            </w:r>
            <w:r w:rsidR="00222289" w:rsidRPr="002952E9">
              <w:rPr>
                <w:bCs/>
                <w:sz w:val="16"/>
                <w:szCs w:val="16"/>
              </w:rPr>
              <w:t xml:space="preserve"> a 2018 RFP issued by DCHA.</w:t>
            </w:r>
          </w:p>
          <w:p w14:paraId="138E6C30" w14:textId="59D9239C" w:rsidR="007E68B7" w:rsidRPr="002952E9" w:rsidRDefault="007E68B7" w:rsidP="00967421">
            <w:pPr>
              <w:rPr>
                <w:bCs/>
                <w:sz w:val="16"/>
                <w:szCs w:val="16"/>
              </w:rPr>
            </w:pPr>
          </w:p>
          <w:p w14:paraId="47B77CE4" w14:textId="6AD0006B" w:rsidR="007E68B7" w:rsidRPr="002952E9" w:rsidRDefault="007E68B7" w:rsidP="007E68B7">
            <w:pPr>
              <w:rPr>
                <w:bCs/>
                <w:sz w:val="16"/>
                <w:szCs w:val="16"/>
              </w:rPr>
            </w:pPr>
            <w:r w:rsidRPr="002952E9">
              <w:rPr>
                <w:bCs/>
                <w:sz w:val="16"/>
                <w:szCs w:val="16"/>
              </w:rPr>
              <w:lastRenderedPageBreak/>
              <w:t xml:space="preserve">DCHA is not anticipating </w:t>
            </w:r>
            <w:r w:rsidR="005C6C06" w:rsidRPr="002952E9">
              <w:rPr>
                <w:bCs/>
                <w:sz w:val="16"/>
                <w:szCs w:val="16"/>
              </w:rPr>
              <w:t xml:space="preserve">entertaining </w:t>
            </w:r>
            <w:r w:rsidRPr="002952E9">
              <w:rPr>
                <w:bCs/>
                <w:sz w:val="16"/>
                <w:szCs w:val="16"/>
              </w:rPr>
              <w:t>any new requests for additional PBV awards in 2</w:t>
            </w:r>
            <w:r w:rsidR="005C6C06" w:rsidRPr="002952E9">
              <w:rPr>
                <w:bCs/>
                <w:sz w:val="16"/>
                <w:szCs w:val="16"/>
              </w:rPr>
              <w:t>022 or 2023</w:t>
            </w:r>
            <w:r w:rsidR="00521979" w:rsidRPr="002952E9">
              <w:rPr>
                <w:bCs/>
                <w:sz w:val="16"/>
                <w:szCs w:val="16"/>
              </w:rPr>
              <w:t>;</w:t>
            </w:r>
            <w:r w:rsidRPr="002952E9">
              <w:rPr>
                <w:bCs/>
                <w:sz w:val="16"/>
                <w:szCs w:val="16"/>
              </w:rPr>
              <w:t xml:space="preserve"> after extraordinary growth in the PBV program from 2014 to the present with the addition of 22 new PBV contracts, DCHA needs to fully absorb the projects in the pipeline and evaluate priorities for the PBV component of the HCV program.</w:t>
            </w:r>
          </w:p>
          <w:p w14:paraId="7A37FE05" w14:textId="77777777" w:rsidR="007E68B7" w:rsidRPr="002952E9" w:rsidRDefault="007E68B7" w:rsidP="00967421">
            <w:pPr>
              <w:rPr>
                <w:bCs/>
                <w:sz w:val="16"/>
                <w:szCs w:val="16"/>
              </w:rPr>
            </w:pPr>
          </w:p>
          <w:p w14:paraId="3485670E" w14:textId="5AC11BF7" w:rsidR="00A82975" w:rsidRPr="002952E9" w:rsidRDefault="00A82975" w:rsidP="00967421">
            <w:pPr>
              <w:rPr>
                <w:bCs/>
                <w:sz w:val="16"/>
                <w:szCs w:val="16"/>
              </w:rPr>
            </w:pPr>
          </w:p>
          <w:p w14:paraId="3D5AB197" w14:textId="5B5BC60B" w:rsidR="006D31E8" w:rsidRPr="002952E9" w:rsidRDefault="006D31E8" w:rsidP="00967421">
            <w:pPr>
              <w:rPr>
                <w:bCs/>
                <w:sz w:val="16"/>
                <w:szCs w:val="16"/>
              </w:rPr>
            </w:pPr>
          </w:p>
          <w:p w14:paraId="6AC98C2E" w14:textId="5113A809" w:rsidR="006D31E8" w:rsidRPr="002952E9" w:rsidRDefault="006D31E8" w:rsidP="00967421">
            <w:pPr>
              <w:rPr>
                <w:bCs/>
                <w:sz w:val="16"/>
                <w:szCs w:val="16"/>
              </w:rPr>
            </w:pPr>
          </w:p>
          <w:p w14:paraId="7A224DB0" w14:textId="110B52C6" w:rsidR="006D31E8" w:rsidRPr="002952E9" w:rsidRDefault="006D31E8" w:rsidP="00967421">
            <w:pPr>
              <w:rPr>
                <w:bCs/>
                <w:sz w:val="16"/>
                <w:szCs w:val="16"/>
              </w:rPr>
            </w:pPr>
          </w:p>
          <w:p w14:paraId="7A7336E4" w14:textId="77777777" w:rsidR="006D31E8" w:rsidRPr="002952E9" w:rsidRDefault="006D31E8" w:rsidP="00967421">
            <w:pPr>
              <w:rPr>
                <w:bCs/>
                <w:sz w:val="16"/>
                <w:szCs w:val="16"/>
              </w:rPr>
            </w:pPr>
          </w:p>
          <w:p w14:paraId="1FC01560" w14:textId="0655C70A" w:rsidR="009924C0" w:rsidRPr="002952E9" w:rsidRDefault="009924C0" w:rsidP="00967421">
            <w:pPr>
              <w:rPr>
                <w:b/>
                <w:sz w:val="16"/>
                <w:szCs w:val="16"/>
              </w:rPr>
            </w:pPr>
            <w:r w:rsidRPr="002952E9">
              <w:rPr>
                <w:b/>
                <w:sz w:val="16"/>
                <w:szCs w:val="16"/>
              </w:rPr>
              <w:t>Other Development Partnerships</w:t>
            </w:r>
          </w:p>
          <w:p w14:paraId="23C16E3A" w14:textId="4EAE6543" w:rsidR="00B02AA0" w:rsidRPr="002952E9" w:rsidRDefault="00B02AA0" w:rsidP="00967421">
            <w:pPr>
              <w:rPr>
                <w:b/>
                <w:sz w:val="16"/>
                <w:szCs w:val="16"/>
              </w:rPr>
            </w:pPr>
          </w:p>
          <w:p w14:paraId="136F8C0A" w14:textId="3581EB83" w:rsidR="00B02AA0" w:rsidRPr="002952E9" w:rsidRDefault="00B02AA0" w:rsidP="00967421">
            <w:pPr>
              <w:rPr>
                <w:b/>
                <w:sz w:val="16"/>
                <w:szCs w:val="16"/>
              </w:rPr>
            </w:pPr>
            <w:r w:rsidRPr="002952E9">
              <w:rPr>
                <w:b/>
                <w:sz w:val="16"/>
                <w:szCs w:val="16"/>
              </w:rPr>
              <w:t>Ownership in Housing Developments</w:t>
            </w:r>
          </w:p>
          <w:p w14:paraId="1C30A862" w14:textId="11B8877A" w:rsidR="007A2735" w:rsidRPr="002952E9" w:rsidRDefault="007A2735" w:rsidP="00967421">
            <w:pPr>
              <w:rPr>
                <w:b/>
                <w:sz w:val="16"/>
                <w:szCs w:val="16"/>
              </w:rPr>
            </w:pPr>
          </w:p>
          <w:p w14:paraId="53BB9A23" w14:textId="0F260B50" w:rsidR="00C75870" w:rsidRPr="002952E9" w:rsidRDefault="007A2735" w:rsidP="00967421">
            <w:pPr>
              <w:rPr>
                <w:bCs/>
                <w:sz w:val="16"/>
                <w:szCs w:val="16"/>
              </w:rPr>
            </w:pPr>
            <w:r w:rsidRPr="002952E9">
              <w:rPr>
                <w:bCs/>
                <w:sz w:val="16"/>
                <w:szCs w:val="16"/>
              </w:rPr>
              <w:t xml:space="preserve">In 2020, DCHA </w:t>
            </w:r>
            <w:proofErr w:type="gramStart"/>
            <w:r w:rsidRPr="002952E9">
              <w:rPr>
                <w:bCs/>
                <w:sz w:val="16"/>
                <w:szCs w:val="16"/>
              </w:rPr>
              <w:t>entered into</w:t>
            </w:r>
            <w:proofErr w:type="gramEnd"/>
            <w:r w:rsidRPr="002952E9">
              <w:rPr>
                <w:bCs/>
                <w:sz w:val="16"/>
                <w:szCs w:val="16"/>
              </w:rPr>
              <w:t xml:space="preserve"> two transactions with for-profit developers to sponsor AHP </w:t>
            </w:r>
            <w:r w:rsidR="00C75870" w:rsidRPr="002952E9">
              <w:rPr>
                <w:bCs/>
                <w:sz w:val="16"/>
                <w:szCs w:val="16"/>
              </w:rPr>
              <w:t xml:space="preserve">grant </w:t>
            </w:r>
            <w:r w:rsidRPr="002952E9">
              <w:rPr>
                <w:bCs/>
                <w:sz w:val="16"/>
                <w:szCs w:val="16"/>
              </w:rPr>
              <w:t>applications to the Federal Home Loan Bank of Chicago</w:t>
            </w:r>
            <w:r w:rsidR="00222289" w:rsidRPr="002952E9">
              <w:rPr>
                <w:bCs/>
                <w:sz w:val="16"/>
                <w:szCs w:val="16"/>
              </w:rPr>
              <w:t xml:space="preserve"> (FHLBC)</w:t>
            </w:r>
            <w:r w:rsidR="00C75870" w:rsidRPr="002952E9">
              <w:rPr>
                <w:bCs/>
                <w:sz w:val="16"/>
                <w:szCs w:val="16"/>
              </w:rPr>
              <w:t xml:space="preserve"> in order to facilitate more housing development in Dane County.  The first property is </w:t>
            </w:r>
            <w:r w:rsidR="000C37A9" w:rsidRPr="002952E9">
              <w:rPr>
                <w:bCs/>
                <w:sz w:val="16"/>
                <w:szCs w:val="16"/>
              </w:rPr>
              <w:t>Oak Ridge at University Park I</w:t>
            </w:r>
            <w:r w:rsidR="00C75870" w:rsidRPr="002952E9">
              <w:rPr>
                <w:bCs/>
                <w:sz w:val="16"/>
                <w:szCs w:val="16"/>
              </w:rPr>
              <w:t>, which is a</w:t>
            </w:r>
            <w:r w:rsidR="00EB559F" w:rsidRPr="002952E9">
              <w:rPr>
                <w:bCs/>
                <w:sz w:val="16"/>
                <w:szCs w:val="16"/>
              </w:rPr>
              <w:t>n</w:t>
            </w:r>
            <w:r w:rsidR="00C75870" w:rsidRPr="002952E9">
              <w:rPr>
                <w:bCs/>
                <w:sz w:val="16"/>
                <w:szCs w:val="16"/>
              </w:rPr>
              <w:t xml:space="preserve"> </w:t>
            </w:r>
            <w:r w:rsidR="00EB559F" w:rsidRPr="002952E9">
              <w:rPr>
                <w:bCs/>
                <w:sz w:val="16"/>
                <w:szCs w:val="16"/>
              </w:rPr>
              <w:t>8</w:t>
            </w:r>
            <w:r w:rsidR="000C37A9" w:rsidRPr="002952E9">
              <w:rPr>
                <w:bCs/>
                <w:sz w:val="16"/>
                <w:szCs w:val="16"/>
              </w:rPr>
              <w:t>1</w:t>
            </w:r>
            <w:r w:rsidR="00EB559F" w:rsidRPr="002952E9">
              <w:rPr>
                <w:bCs/>
                <w:sz w:val="16"/>
                <w:szCs w:val="16"/>
              </w:rPr>
              <w:t>-</w:t>
            </w:r>
            <w:r w:rsidR="00C75870" w:rsidRPr="002952E9">
              <w:rPr>
                <w:bCs/>
                <w:sz w:val="16"/>
                <w:szCs w:val="16"/>
              </w:rPr>
              <w:t>unit senior development located in Madison</w:t>
            </w:r>
            <w:r w:rsidR="000C37A9" w:rsidRPr="002952E9">
              <w:rPr>
                <w:bCs/>
                <w:sz w:val="16"/>
                <w:szCs w:val="16"/>
              </w:rPr>
              <w:t xml:space="preserve"> on the site of the former Westgate Mall</w:t>
            </w:r>
            <w:r w:rsidR="00C75870" w:rsidRPr="002952E9">
              <w:rPr>
                <w:bCs/>
                <w:sz w:val="16"/>
                <w:szCs w:val="16"/>
              </w:rPr>
              <w:t>, developed by JT Klein.  The second application is known as</w:t>
            </w:r>
            <w:r w:rsidR="00EB559F" w:rsidRPr="002952E9">
              <w:rPr>
                <w:bCs/>
                <w:sz w:val="16"/>
                <w:szCs w:val="16"/>
              </w:rPr>
              <w:t xml:space="preserve"> The Waterford</w:t>
            </w:r>
            <w:r w:rsidR="00C75870" w:rsidRPr="002952E9">
              <w:rPr>
                <w:bCs/>
                <w:sz w:val="16"/>
                <w:szCs w:val="16"/>
              </w:rPr>
              <w:t>, which is a</w:t>
            </w:r>
            <w:r w:rsidR="00EB559F" w:rsidRPr="002952E9">
              <w:rPr>
                <w:bCs/>
                <w:sz w:val="16"/>
                <w:szCs w:val="16"/>
              </w:rPr>
              <w:t xml:space="preserve"> 49-</w:t>
            </w:r>
            <w:r w:rsidR="00C75870" w:rsidRPr="002952E9">
              <w:rPr>
                <w:bCs/>
                <w:sz w:val="16"/>
                <w:szCs w:val="16"/>
              </w:rPr>
              <w:t>unit senior development located in McFarland, WI, developed by Northpointe Development.</w:t>
            </w:r>
            <w:r w:rsidR="000C37A9" w:rsidRPr="002952E9">
              <w:rPr>
                <w:bCs/>
                <w:sz w:val="16"/>
                <w:szCs w:val="16"/>
              </w:rPr>
              <w:t xml:space="preserve">  DCHA will have an ownership interest in </w:t>
            </w:r>
            <w:proofErr w:type="gramStart"/>
            <w:r w:rsidR="000C37A9" w:rsidRPr="002952E9">
              <w:rPr>
                <w:bCs/>
                <w:sz w:val="16"/>
                <w:szCs w:val="16"/>
              </w:rPr>
              <w:t>both of these</w:t>
            </w:r>
            <w:proofErr w:type="gramEnd"/>
            <w:r w:rsidR="000C37A9" w:rsidRPr="002952E9">
              <w:rPr>
                <w:bCs/>
                <w:sz w:val="16"/>
                <w:szCs w:val="16"/>
              </w:rPr>
              <w:t xml:space="preserve"> properties.</w:t>
            </w:r>
          </w:p>
          <w:p w14:paraId="449922E3" w14:textId="77777777" w:rsidR="00C75870" w:rsidRPr="002952E9" w:rsidRDefault="00C75870" w:rsidP="00967421">
            <w:pPr>
              <w:rPr>
                <w:bCs/>
                <w:sz w:val="16"/>
                <w:szCs w:val="16"/>
              </w:rPr>
            </w:pPr>
          </w:p>
          <w:p w14:paraId="6F321EEC" w14:textId="47438E85" w:rsidR="007A2735" w:rsidRPr="002952E9" w:rsidRDefault="00C75870" w:rsidP="00967421">
            <w:pPr>
              <w:rPr>
                <w:bCs/>
                <w:sz w:val="16"/>
                <w:szCs w:val="16"/>
              </w:rPr>
            </w:pPr>
            <w:r w:rsidRPr="002952E9">
              <w:rPr>
                <w:bCs/>
                <w:sz w:val="16"/>
                <w:szCs w:val="16"/>
              </w:rPr>
              <w:t xml:space="preserve">Both AHP applications were successful, </w:t>
            </w:r>
            <w:r w:rsidR="00B81265" w:rsidRPr="002952E9">
              <w:rPr>
                <w:bCs/>
                <w:sz w:val="16"/>
                <w:szCs w:val="16"/>
              </w:rPr>
              <w:t xml:space="preserve">and both developments were awarded </w:t>
            </w:r>
            <w:r w:rsidRPr="002952E9">
              <w:rPr>
                <w:bCs/>
                <w:sz w:val="16"/>
                <w:szCs w:val="16"/>
              </w:rPr>
              <w:t xml:space="preserve">4% State </w:t>
            </w:r>
            <w:r w:rsidR="00B81265" w:rsidRPr="002952E9">
              <w:rPr>
                <w:bCs/>
                <w:sz w:val="16"/>
                <w:szCs w:val="16"/>
              </w:rPr>
              <w:t>Low Income Housing Tax Credits</w:t>
            </w:r>
            <w:r w:rsidR="002B5348" w:rsidRPr="002952E9">
              <w:rPr>
                <w:bCs/>
                <w:sz w:val="16"/>
                <w:szCs w:val="16"/>
              </w:rPr>
              <w:t xml:space="preserve"> (LIHTC)</w:t>
            </w:r>
            <w:r w:rsidR="00B81265" w:rsidRPr="002952E9">
              <w:rPr>
                <w:bCs/>
                <w:sz w:val="16"/>
                <w:szCs w:val="16"/>
              </w:rPr>
              <w:t xml:space="preserve"> in 2021 from </w:t>
            </w:r>
            <w:r w:rsidRPr="002952E9">
              <w:rPr>
                <w:bCs/>
                <w:sz w:val="16"/>
                <w:szCs w:val="16"/>
              </w:rPr>
              <w:t>WHEDA</w:t>
            </w:r>
            <w:r w:rsidR="00B81265" w:rsidRPr="002952E9">
              <w:rPr>
                <w:bCs/>
                <w:sz w:val="16"/>
                <w:szCs w:val="16"/>
              </w:rPr>
              <w:t>.  These new developments</w:t>
            </w:r>
            <w:r w:rsidR="00222289" w:rsidRPr="002952E9">
              <w:rPr>
                <w:bCs/>
                <w:sz w:val="16"/>
                <w:szCs w:val="16"/>
              </w:rPr>
              <w:t xml:space="preserve"> are both currently under construction.</w:t>
            </w:r>
          </w:p>
          <w:p w14:paraId="7B71B3DF" w14:textId="32D6B97E" w:rsidR="00B81265" w:rsidRDefault="00B81265" w:rsidP="00967421">
            <w:pPr>
              <w:rPr>
                <w:bCs/>
                <w:sz w:val="16"/>
                <w:szCs w:val="16"/>
              </w:rPr>
            </w:pPr>
          </w:p>
          <w:p w14:paraId="3E37A763" w14:textId="02DC8226" w:rsidR="001F02E5" w:rsidRDefault="006B6495" w:rsidP="0056445E">
            <w:pPr>
              <w:rPr>
                <w:bCs/>
                <w:sz w:val="16"/>
                <w:szCs w:val="16"/>
              </w:rPr>
            </w:pPr>
            <w:r>
              <w:rPr>
                <w:bCs/>
                <w:sz w:val="16"/>
                <w:szCs w:val="16"/>
              </w:rPr>
              <w:t xml:space="preserve">In 2022, DCHA </w:t>
            </w:r>
            <w:proofErr w:type="gramStart"/>
            <w:r>
              <w:rPr>
                <w:bCs/>
                <w:sz w:val="16"/>
                <w:szCs w:val="16"/>
              </w:rPr>
              <w:t>entered into</w:t>
            </w:r>
            <w:proofErr w:type="gramEnd"/>
            <w:r>
              <w:rPr>
                <w:bCs/>
                <w:sz w:val="16"/>
                <w:szCs w:val="16"/>
              </w:rPr>
              <w:t xml:space="preserve"> another transaction with the Northpointe Development sponsoring an AHP grant application for Broadway-Monona, LLC, a 75-unit development located at 1208 E. Broadway in Monona, WI.  DCHA will have an ownership interest in this development.</w:t>
            </w:r>
          </w:p>
          <w:p w14:paraId="607998AF" w14:textId="77777777" w:rsidR="0056445E" w:rsidRPr="006B6495" w:rsidRDefault="0056445E" w:rsidP="0056445E">
            <w:pPr>
              <w:rPr>
                <w:bCs/>
                <w:sz w:val="16"/>
                <w:szCs w:val="16"/>
              </w:rPr>
            </w:pPr>
          </w:p>
          <w:p w14:paraId="162385B0" w14:textId="1A5C611A" w:rsidR="001F02E5" w:rsidRPr="002952E9" w:rsidRDefault="001F02E5" w:rsidP="00967421">
            <w:pPr>
              <w:rPr>
                <w:b/>
                <w:sz w:val="16"/>
                <w:szCs w:val="16"/>
              </w:rPr>
            </w:pPr>
            <w:r w:rsidRPr="006B6495">
              <w:rPr>
                <w:b/>
                <w:sz w:val="16"/>
                <w:szCs w:val="16"/>
              </w:rPr>
              <w:t>Tax Exempt Bond</w:t>
            </w:r>
            <w:r w:rsidR="00B02AA0" w:rsidRPr="006B6495">
              <w:rPr>
                <w:b/>
                <w:sz w:val="16"/>
                <w:szCs w:val="16"/>
              </w:rPr>
              <w:t xml:space="preserve"> Issuance</w:t>
            </w:r>
          </w:p>
          <w:p w14:paraId="6505EF9F" w14:textId="2FC6840C" w:rsidR="000C37A9" w:rsidRPr="002952E9" w:rsidRDefault="000C37A9" w:rsidP="00967421">
            <w:pPr>
              <w:rPr>
                <w:b/>
                <w:sz w:val="16"/>
                <w:szCs w:val="16"/>
              </w:rPr>
            </w:pPr>
          </w:p>
          <w:p w14:paraId="6DC49FAA" w14:textId="50091B2E" w:rsidR="000C37A9" w:rsidRPr="002952E9" w:rsidRDefault="000C37A9" w:rsidP="00967421">
            <w:pPr>
              <w:rPr>
                <w:bCs/>
                <w:sz w:val="16"/>
                <w:szCs w:val="16"/>
              </w:rPr>
            </w:pPr>
            <w:r w:rsidRPr="002952E9">
              <w:rPr>
                <w:bCs/>
                <w:sz w:val="16"/>
                <w:szCs w:val="16"/>
              </w:rPr>
              <w:t>DCHA is</w:t>
            </w:r>
            <w:r w:rsidR="00BC6CFE" w:rsidRPr="002952E9">
              <w:rPr>
                <w:bCs/>
                <w:sz w:val="16"/>
                <w:szCs w:val="16"/>
              </w:rPr>
              <w:t>sued</w:t>
            </w:r>
            <w:r w:rsidRPr="002952E9">
              <w:rPr>
                <w:bCs/>
                <w:sz w:val="16"/>
                <w:szCs w:val="16"/>
              </w:rPr>
              <w:t xml:space="preserve"> tax-exempt bonds for two developments in </w:t>
            </w:r>
            <w:r w:rsidR="002B5348" w:rsidRPr="002952E9">
              <w:rPr>
                <w:bCs/>
                <w:sz w:val="16"/>
                <w:szCs w:val="16"/>
              </w:rPr>
              <w:t xml:space="preserve">Q4 </w:t>
            </w:r>
            <w:r w:rsidRPr="002952E9">
              <w:rPr>
                <w:bCs/>
                <w:sz w:val="16"/>
                <w:szCs w:val="16"/>
              </w:rPr>
              <w:t>2021 to facilitate the development of new affordable ho</w:t>
            </w:r>
            <w:r w:rsidR="00BC6CFE" w:rsidRPr="002952E9">
              <w:rPr>
                <w:bCs/>
                <w:sz w:val="16"/>
                <w:szCs w:val="16"/>
              </w:rPr>
              <w:t>u</w:t>
            </w:r>
            <w:r w:rsidRPr="002952E9">
              <w:rPr>
                <w:bCs/>
                <w:sz w:val="16"/>
                <w:szCs w:val="16"/>
              </w:rPr>
              <w:t xml:space="preserve">sing in Dane County.  </w:t>
            </w:r>
            <w:r w:rsidR="002B5348" w:rsidRPr="002952E9">
              <w:rPr>
                <w:bCs/>
                <w:sz w:val="16"/>
                <w:szCs w:val="16"/>
              </w:rPr>
              <w:t xml:space="preserve">These developments are both part of JT Klein, Inc’s Westgate Mall redevelopment on the west side of the City of Madison.  The developments include the Oak Park at University Park I project that is mentioned above (81-unit senior LIHTC development) and University Park Commons, which is a </w:t>
            </w:r>
            <w:r w:rsidR="004022AC" w:rsidRPr="002952E9">
              <w:rPr>
                <w:bCs/>
                <w:sz w:val="16"/>
                <w:szCs w:val="16"/>
              </w:rPr>
              <w:t>68-unit LIHTC development.</w:t>
            </w:r>
          </w:p>
          <w:p w14:paraId="2C26F9BB" w14:textId="6E4752D2" w:rsidR="00BC6CFE" w:rsidRPr="002952E9" w:rsidRDefault="00BC6CFE" w:rsidP="00967421">
            <w:pPr>
              <w:rPr>
                <w:bCs/>
                <w:sz w:val="16"/>
                <w:szCs w:val="16"/>
              </w:rPr>
            </w:pPr>
          </w:p>
          <w:p w14:paraId="28A3981A" w14:textId="7029F3CE" w:rsidR="00B02AA0" w:rsidRPr="002952E9" w:rsidRDefault="00BC6CFE" w:rsidP="00967421">
            <w:pPr>
              <w:rPr>
                <w:b/>
                <w:sz w:val="16"/>
                <w:szCs w:val="16"/>
              </w:rPr>
            </w:pPr>
            <w:r w:rsidRPr="002952E9">
              <w:rPr>
                <w:bCs/>
                <w:sz w:val="16"/>
                <w:szCs w:val="16"/>
              </w:rPr>
              <w:t>DCHA is also seeking to issue tax-exempt bonds in Q4 2022 to facilitate the development of an affordable housing development at 402 Wilson Street in the City of Madison.  This 54-unit LIHTC property is being developed by Bear Development, LLC, who hope to begin construction in October 2022.</w:t>
            </w:r>
          </w:p>
          <w:p w14:paraId="46C8E312" w14:textId="2AD22FDF" w:rsidR="009924C0" w:rsidRPr="002952E9" w:rsidRDefault="009924C0" w:rsidP="00967421">
            <w:pPr>
              <w:rPr>
                <w:bCs/>
                <w:sz w:val="16"/>
                <w:szCs w:val="16"/>
              </w:rPr>
            </w:pPr>
          </w:p>
          <w:p w14:paraId="5C8353E1" w14:textId="758725D2" w:rsidR="009924C0" w:rsidRPr="002952E9" w:rsidRDefault="009924C0" w:rsidP="00967421">
            <w:pPr>
              <w:rPr>
                <w:b/>
                <w:sz w:val="16"/>
                <w:szCs w:val="16"/>
              </w:rPr>
            </w:pPr>
            <w:r w:rsidRPr="002952E9">
              <w:rPr>
                <w:b/>
                <w:sz w:val="16"/>
                <w:szCs w:val="16"/>
              </w:rPr>
              <w:t>Partnership with Dane County on Affordable Housing Development Fund</w:t>
            </w:r>
          </w:p>
          <w:p w14:paraId="5CC2D21D" w14:textId="390380DF" w:rsidR="003C366B" w:rsidRPr="002952E9" w:rsidRDefault="003C366B" w:rsidP="00967421">
            <w:pPr>
              <w:rPr>
                <w:b/>
                <w:sz w:val="16"/>
                <w:szCs w:val="16"/>
              </w:rPr>
            </w:pPr>
          </w:p>
          <w:p w14:paraId="5673B8C9" w14:textId="3EE0B2B6" w:rsidR="003C366B" w:rsidRPr="002952E9" w:rsidRDefault="003C366B" w:rsidP="00967421">
            <w:pPr>
              <w:rPr>
                <w:bCs/>
                <w:sz w:val="16"/>
                <w:szCs w:val="16"/>
              </w:rPr>
            </w:pPr>
            <w:r w:rsidRPr="002952E9">
              <w:rPr>
                <w:bCs/>
                <w:sz w:val="16"/>
                <w:szCs w:val="16"/>
              </w:rPr>
              <w:t xml:space="preserve">In 2015, DCHA executed an MOU with Dane County in which DCHA would be the lender of record for a new loan fund to facilitate the development of affordable housing that the County planned to create.  </w:t>
            </w:r>
            <w:r w:rsidR="003A27EA" w:rsidRPr="002952E9">
              <w:rPr>
                <w:bCs/>
                <w:sz w:val="16"/>
                <w:szCs w:val="16"/>
              </w:rPr>
              <w:t xml:space="preserve">A revised MOU </w:t>
            </w:r>
            <w:r w:rsidR="00613741" w:rsidRPr="002952E9">
              <w:rPr>
                <w:bCs/>
                <w:sz w:val="16"/>
                <w:szCs w:val="16"/>
              </w:rPr>
              <w:t>was approved by the County Board in 2021,</w:t>
            </w:r>
            <w:r w:rsidR="003A27EA" w:rsidRPr="002952E9">
              <w:rPr>
                <w:bCs/>
                <w:sz w:val="16"/>
                <w:szCs w:val="16"/>
              </w:rPr>
              <w:t xml:space="preserve"> which will provide </w:t>
            </w:r>
            <w:r w:rsidR="00613741" w:rsidRPr="002952E9">
              <w:rPr>
                <w:bCs/>
                <w:sz w:val="16"/>
                <w:szCs w:val="16"/>
              </w:rPr>
              <w:t xml:space="preserve">$10,000 </w:t>
            </w:r>
            <w:r w:rsidR="003A27EA" w:rsidRPr="002952E9">
              <w:rPr>
                <w:bCs/>
                <w:sz w:val="16"/>
                <w:szCs w:val="16"/>
              </w:rPr>
              <w:t xml:space="preserve">to DCHA for its work closing and monitoring </w:t>
            </w:r>
            <w:r w:rsidR="00613741" w:rsidRPr="002952E9">
              <w:rPr>
                <w:bCs/>
                <w:sz w:val="16"/>
                <w:szCs w:val="16"/>
              </w:rPr>
              <w:t>each loan, starting with projects funded from the 2022 County funding round.</w:t>
            </w:r>
            <w:r w:rsidR="003A27EA" w:rsidRPr="002952E9">
              <w:rPr>
                <w:bCs/>
                <w:sz w:val="16"/>
                <w:szCs w:val="16"/>
              </w:rPr>
              <w:t xml:space="preserve">  </w:t>
            </w:r>
            <w:r w:rsidR="00921608" w:rsidRPr="002952E9">
              <w:rPr>
                <w:bCs/>
                <w:sz w:val="16"/>
                <w:szCs w:val="16"/>
              </w:rPr>
              <w:t xml:space="preserve">These loans are structured as soft, subordinate loans in larger affordable housing developments that are typically using LIHTC’s. </w:t>
            </w:r>
            <w:r w:rsidRPr="002952E9">
              <w:rPr>
                <w:bCs/>
                <w:sz w:val="16"/>
                <w:szCs w:val="16"/>
              </w:rPr>
              <w:t>T</w:t>
            </w:r>
            <w:r w:rsidR="00613741" w:rsidRPr="002952E9">
              <w:rPr>
                <w:bCs/>
                <w:sz w:val="16"/>
                <w:szCs w:val="16"/>
              </w:rPr>
              <w:t>hree</w:t>
            </w:r>
            <w:r w:rsidRPr="002952E9">
              <w:rPr>
                <w:bCs/>
                <w:sz w:val="16"/>
                <w:szCs w:val="16"/>
              </w:rPr>
              <w:t xml:space="preserve"> loans closed into this fund prior to 2020, and two new loans </w:t>
            </w:r>
            <w:r w:rsidR="00921608" w:rsidRPr="002952E9">
              <w:rPr>
                <w:bCs/>
                <w:sz w:val="16"/>
                <w:szCs w:val="16"/>
              </w:rPr>
              <w:t>(</w:t>
            </w:r>
            <w:r w:rsidRPr="002952E9">
              <w:rPr>
                <w:bCs/>
                <w:sz w:val="16"/>
                <w:szCs w:val="16"/>
              </w:rPr>
              <w:t>The Ace Apartments and</w:t>
            </w:r>
            <w:r w:rsidR="00074FEF" w:rsidRPr="002952E9">
              <w:rPr>
                <w:bCs/>
                <w:sz w:val="16"/>
                <w:szCs w:val="16"/>
              </w:rPr>
              <w:t xml:space="preserve"> </w:t>
            </w:r>
            <w:r w:rsidRPr="002952E9">
              <w:rPr>
                <w:bCs/>
                <w:sz w:val="16"/>
                <w:szCs w:val="16"/>
              </w:rPr>
              <w:t>Limestone Ridge</w:t>
            </w:r>
            <w:r w:rsidR="00921608" w:rsidRPr="002952E9">
              <w:rPr>
                <w:bCs/>
                <w:sz w:val="16"/>
                <w:szCs w:val="16"/>
              </w:rPr>
              <w:t>)</w:t>
            </w:r>
            <w:r w:rsidRPr="002952E9">
              <w:rPr>
                <w:bCs/>
                <w:sz w:val="16"/>
                <w:szCs w:val="16"/>
              </w:rPr>
              <w:t xml:space="preserve"> closed into the fund during 2020. </w:t>
            </w:r>
            <w:r w:rsidR="003A27EA" w:rsidRPr="002952E9">
              <w:rPr>
                <w:bCs/>
                <w:sz w:val="16"/>
                <w:szCs w:val="16"/>
              </w:rPr>
              <w:t xml:space="preserve">A total of </w:t>
            </w:r>
            <w:r w:rsidR="00B564D2" w:rsidRPr="002952E9">
              <w:rPr>
                <w:bCs/>
                <w:sz w:val="16"/>
                <w:szCs w:val="16"/>
              </w:rPr>
              <w:t xml:space="preserve">nine </w:t>
            </w:r>
            <w:r w:rsidR="003A27EA" w:rsidRPr="002952E9">
              <w:rPr>
                <w:bCs/>
                <w:sz w:val="16"/>
                <w:szCs w:val="16"/>
              </w:rPr>
              <w:t xml:space="preserve">new loans </w:t>
            </w:r>
            <w:r w:rsidR="00921608" w:rsidRPr="002952E9">
              <w:rPr>
                <w:bCs/>
                <w:sz w:val="16"/>
                <w:szCs w:val="16"/>
              </w:rPr>
              <w:t>close</w:t>
            </w:r>
            <w:r w:rsidR="003D0567" w:rsidRPr="002952E9">
              <w:rPr>
                <w:bCs/>
                <w:sz w:val="16"/>
                <w:szCs w:val="16"/>
              </w:rPr>
              <w:t>d</w:t>
            </w:r>
            <w:r w:rsidR="00921608" w:rsidRPr="002952E9">
              <w:rPr>
                <w:bCs/>
                <w:sz w:val="16"/>
                <w:szCs w:val="16"/>
              </w:rPr>
              <w:t xml:space="preserve"> into the fund during 2021</w:t>
            </w:r>
            <w:r w:rsidR="003D0567" w:rsidRPr="002952E9">
              <w:rPr>
                <w:bCs/>
                <w:sz w:val="16"/>
                <w:szCs w:val="16"/>
              </w:rPr>
              <w:t xml:space="preserve"> and through August 2022</w:t>
            </w:r>
            <w:r w:rsidR="00921608" w:rsidRPr="002952E9">
              <w:rPr>
                <w:bCs/>
                <w:sz w:val="16"/>
                <w:szCs w:val="16"/>
              </w:rPr>
              <w:t xml:space="preserve">, </w:t>
            </w:r>
            <w:r w:rsidR="001F02E5" w:rsidRPr="002952E9">
              <w:rPr>
                <w:bCs/>
                <w:sz w:val="16"/>
                <w:szCs w:val="16"/>
              </w:rPr>
              <w:t>since</w:t>
            </w:r>
            <w:r w:rsidR="00921608" w:rsidRPr="002952E9">
              <w:rPr>
                <w:bCs/>
                <w:sz w:val="16"/>
                <w:szCs w:val="16"/>
              </w:rPr>
              <w:t xml:space="preserve"> the County has allocated more resources toward this initiative.</w:t>
            </w:r>
            <w:r w:rsidR="003D0567" w:rsidRPr="002952E9">
              <w:rPr>
                <w:bCs/>
                <w:sz w:val="16"/>
                <w:szCs w:val="16"/>
              </w:rPr>
              <w:t xml:space="preserve"> Several more loans are anticipated to close by the end of 2022.</w:t>
            </w:r>
          </w:p>
          <w:p w14:paraId="3392030F" w14:textId="038C21C2" w:rsidR="00921608" w:rsidRPr="002952E9" w:rsidRDefault="00921608" w:rsidP="00967421">
            <w:pPr>
              <w:rPr>
                <w:bCs/>
                <w:sz w:val="16"/>
                <w:szCs w:val="16"/>
              </w:rPr>
            </w:pPr>
          </w:p>
          <w:p w14:paraId="31F7B1A5" w14:textId="04501292" w:rsidR="00921608" w:rsidRPr="002952E9" w:rsidRDefault="00921608" w:rsidP="00967421">
            <w:pPr>
              <w:rPr>
                <w:bCs/>
                <w:sz w:val="16"/>
                <w:szCs w:val="16"/>
              </w:rPr>
            </w:pPr>
            <w:r w:rsidRPr="002952E9">
              <w:rPr>
                <w:bCs/>
                <w:sz w:val="16"/>
                <w:szCs w:val="16"/>
              </w:rPr>
              <w:t>DCHA is involved in closing and funding these loans, as well as in ongoing monitoring along with Dane County.  A change in accounting treatment beginning with DCHA’s 2019 audit reflects these loans on the PHA’s balance sheet.</w:t>
            </w:r>
          </w:p>
          <w:p w14:paraId="7C7A15BC" w14:textId="72A0BA04" w:rsidR="00921608" w:rsidRPr="002952E9" w:rsidRDefault="00921608" w:rsidP="00967421">
            <w:pPr>
              <w:rPr>
                <w:bCs/>
                <w:sz w:val="16"/>
                <w:szCs w:val="16"/>
              </w:rPr>
            </w:pPr>
          </w:p>
          <w:p w14:paraId="1B0D1AE0" w14:textId="14E82BC7" w:rsidR="00921608" w:rsidRPr="002952E9" w:rsidRDefault="00921608" w:rsidP="00967421">
            <w:pPr>
              <w:rPr>
                <w:b/>
                <w:sz w:val="16"/>
                <w:szCs w:val="16"/>
              </w:rPr>
            </w:pPr>
            <w:r w:rsidRPr="002952E9">
              <w:rPr>
                <w:b/>
                <w:sz w:val="16"/>
                <w:szCs w:val="16"/>
              </w:rPr>
              <w:t>Addressing Deferred Maintenance in DCHA Portfolio</w:t>
            </w:r>
          </w:p>
          <w:p w14:paraId="29E4339B" w14:textId="329C91A2" w:rsidR="00921608" w:rsidRPr="002952E9" w:rsidRDefault="00921608" w:rsidP="00967421">
            <w:pPr>
              <w:rPr>
                <w:b/>
                <w:sz w:val="16"/>
                <w:szCs w:val="16"/>
              </w:rPr>
            </w:pPr>
          </w:p>
          <w:p w14:paraId="76FC1615" w14:textId="78613E47" w:rsidR="00B63C33" w:rsidRPr="002952E9" w:rsidRDefault="00B63C33" w:rsidP="00967421">
            <w:pPr>
              <w:rPr>
                <w:bCs/>
                <w:sz w:val="16"/>
                <w:szCs w:val="16"/>
              </w:rPr>
            </w:pPr>
            <w:proofErr w:type="gramStart"/>
            <w:r w:rsidRPr="002952E9">
              <w:rPr>
                <w:bCs/>
                <w:sz w:val="16"/>
                <w:szCs w:val="16"/>
              </w:rPr>
              <w:t>In order to</w:t>
            </w:r>
            <w:proofErr w:type="gramEnd"/>
            <w:r w:rsidRPr="002952E9">
              <w:rPr>
                <w:bCs/>
                <w:sz w:val="16"/>
                <w:szCs w:val="16"/>
              </w:rPr>
              <w:t xml:space="preserve"> best serve our residents, DCHA is committed to evaluating the physical condition of our portfolio and reinvesting in the real estate to create and maintain quality housing.  In 2020</w:t>
            </w:r>
            <w:r w:rsidR="00041370" w:rsidRPr="002952E9">
              <w:rPr>
                <w:bCs/>
                <w:sz w:val="16"/>
                <w:szCs w:val="16"/>
              </w:rPr>
              <w:t xml:space="preserve"> </w:t>
            </w:r>
            <w:r w:rsidR="00FB2451" w:rsidRPr="002952E9">
              <w:rPr>
                <w:bCs/>
                <w:sz w:val="16"/>
                <w:szCs w:val="16"/>
              </w:rPr>
              <w:t>through 202</w:t>
            </w:r>
            <w:r w:rsidR="001C4E8A" w:rsidRPr="002952E9">
              <w:rPr>
                <w:bCs/>
                <w:sz w:val="16"/>
                <w:szCs w:val="16"/>
              </w:rPr>
              <w:t>1</w:t>
            </w:r>
            <w:r w:rsidRPr="002952E9">
              <w:rPr>
                <w:bCs/>
                <w:sz w:val="16"/>
                <w:szCs w:val="16"/>
              </w:rPr>
              <w:t xml:space="preserve">, we </w:t>
            </w:r>
            <w:r w:rsidR="001C4E8A" w:rsidRPr="002952E9">
              <w:rPr>
                <w:bCs/>
                <w:sz w:val="16"/>
                <w:szCs w:val="16"/>
              </w:rPr>
              <w:t>were</w:t>
            </w:r>
            <w:r w:rsidRPr="002952E9">
              <w:rPr>
                <w:bCs/>
                <w:sz w:val="16"/>
                <w:szCs w:val="16"/>
              </w:rPr>
              <w:t xml:space="preserve"> hampered from truly assessing all capital needs due to COVID-19 limitations on physical inspections of individual units</w:t>
            </w:r>
            <w:r w:rsidR="00FB2451" w:rsidRPr="002952E9">
              <w:rPr>
                <w:bCs/>
                <w:sz w:val="16"/>
                <w:szCs w:val="16"/>
              </w:rPr>
              <w:t xml:space="preserve">, </w:t>
            </w:r>
            <w:r w:rsidR="001C4E8A" w:rsidRPr="002952E9">
              <w:rPr>
                <w:bCs/>
                <w:sz w:val="16"/>
                <w:szCs w:val="16"/>
              </w:rPr>
              <w:t xml:space="preserve">and from 2020 through 2022, we have experienced </w:t>
            </w:r>
            <w:r w:rsidR="00FB2451" w:rsidRPr="002952E9">
              <w:rPr>
                <w:bCs/>
                <w:sz w:val="16"/>
                <w:szCs w:val="16"/>
              </w:rPr>
              <w:t xml:space="preserve">challenges </w:t>
            </w:r>
            <w:r w:rsidR="001C4E8A" w:rsidRPr="002952E9">
              <w:rPr>
                <w:bCs/>
                <w:sz w:val="16"/>
                <w:szCs w:val="16"/>
              </w:rPr>
              <w:t xml:space="preserve">as well </w:t>
            </w:r>
            <w:r w:rsidR="00FB2451" w:rsidRPr="002952E9">
              <w:rPr>
                <w:bCs/>
                <w:sz w:val="16"/>
                <w:szCs w:val="16"/>
              </w:rPr>
              <w:t>with obtaining contractors and materials once projects are identified</w:t>
            </w:r>
            <w:r w:rsidRPr="002952E9">
              <w:rPr>
                <w:bCs/>
                <w:sz w:val="16"/>
                <w:szCs w:val="16"/>
              </w:rPr>
              <w:t>.  However, the following progress was made:</w:t>
            </w:r>
          </w:p>
          <w:p w14:paraId="7B6B2CFE" w14:textId="5833E638" w:rsidR="00B63C33" w:rsidRPr="002952E9" w:rsidRDefault="00B63C33" w:rsidP="00B63C33">
            <w:pPr>
              <w:pStyle w:val="ListParagraph"/>
              <w:numPr>
                <w:ilvl w:val="0"/>
                <w:numId w:val="33"/>
              </w:numPr>
              <w:rPr>
                <w:bCs/>
                <w:sz w:val="16"/>
                <w:szCs w:val="16"/>
              </w:rPr>
            </w:pPr>
            <w:r w:rsidRPr="002952E9">
              <w:rPr>
                <w:bCs/>
                <w:sz w:val="16"/>
                <w:szCs w:val="16"/>
              </w:rPr>
              <w:t xml:space="preserve">Public Housing – </w:t>
            </w:r>
            <w:r w:rsidR="00710C88" w:rsidRPr="002952E9">
              <w:rPr>
                <w:bCs/>
                <w:sz w:val="16"/>
                <w:szCs w:val="16"/>
              </w:rPr>
              <w:t xml:space="preserve">In 2020 a </w:t>
            </w:r>
            <w:r w:rsidRPr="002952E9">
              <w:rPr>
                <w:bCs/>
                <w:sz w:val="16"/>
                <w:szCs w:val="16"/>
              </w:rPr>
              <w:t xml:space="preserve">new roof and elevator </w:t>
            </w:r>
            <w:r w:rsidR="00710C88" w:rsidRPr="002952E9">
              <w:rPr>
                <w:bCs/>
                <w:sz w:val="16"/>
                <w:szCs w:val="16"/>
              </w:rPr>
              <w:t xml:space="preserve">were </w:t>
            </w:r>
            <w:r w:rsidRPr="002952E9">
              <w:rPr>
                <w:bCs/>
                <w:sz w:val="16"/>
                <w:szCs w:val="16"/>
              </w:rPr>
              <w:t>installed in</w:t>
            </w:r>
            <w:r w:rsidR="00D77477" w:rsidRPr="002952E9">
              <w:rPr>
                <w:bCs/>
                <w:sz w:val="16"/>
                <w:szCs w:val="16"/>
              </w:rPr>
              <w:t xml:space="preserve"> 14-unit</w:t>
            </w:r>
            <w:r w:rsidRPr="002952E9">
              <w:rPr>
                <w:bCs/>
                <w:sz w:val="16"/>
                <w:szCs w:val="16"/>
              </w:rPr>
              <w:t xml:space="preserve"> building in Stoughton, </w:t>
            </w:r>
            <w:r w:rsidR="00710C88" w:rsidRPr="002952E9">
              <w:rPr>
                <w:bCs/>
                <w:sz w:val="16"/>
                <w:szCs w:val="16"/>
              </w:rPr>
              <w:t xml:space="preserve">we funded </w:t>
            </w:r>
            <w:r w:rsidRPr="002952E9">
              <w:rPr>
                <w:bCs/>
                <w:sz w:val="16"/>
                <w:szCs w:val="16"/>
              </w:rPr>
              <w:t>numerous A/C replacements in duplex units in Stoughton and Sun Prairie</w:t>
            </w:r>
            <w:r w:rsidR="00710C88" w:rsidRPr="002952E9">
              <w:rPr>
                <w:bCs/>
                <w:sz w:val="16"/>
                <w:szCs w:val="16"/>
              </w:rPr>
              <w:t xml:space="preserve"> as well as </w:t>
            </w:r>
            <w:r w:rsidRPr="002952E9">
              <w:rPr>
                <w:bCs/>
                <w:sz w:val="16"/>
                <w:szCs w:val="16"/>
              </w:rPr>
              <w:t xml:space="preserve">furnace repairs and replacements in Monona and Mazomanie, </w:t>
            </w:r>
            <w:r w:rsidR="00710C88" w:rsidRPr="002952E9">
              <w:rPr>
                <w:bCs/>
                <w:sz w:val="16"/>
                <w:szCs w:val="16"/>
              </w:rPr>
              <w:t xml:space="preserve">and </w:t>
            </w:r>
            <w:r w:rsidRPr="002952E9">
              <w:rPr>
                <w:bCs/>
                <w:sz w:val="16"/>
                <w:szCs w:val="16"/>
              </w:rPr>
              <w:t>removal of dead trees in Monona</w:t>
            </w:r>
            <w:r w:rsidR="00710C88" w:rsidRPr="002952E9">
              <w:rPr>
                <w:bCs/>
                <w:sz w:val="16"/>
                <w:szCs w:val="16"/>
              </w:rPr>
              <w:t xml:space="preserve">.  In 2021, </w:t>
            </w:r>
            <w:r w:rsidR="002B461C" w:rsidRPr="002952E9">
              <w:rPr>
                <w:bCs/>
                <w:sz w:val="16"/>
                <w:szCs w:val="16"/>
              </w:rPr>
              <w:t>a new roof was installed on one of the Sun Prairie duplexes, a water heater was replaced, and extensive remodeling was performed in a unit that had damage from a burst pipe in February 2021.  Additional improvements will be prioritized based on the results of the pending capital needs assessment</w:t>
            </w:r>
            <w:r w:rsidR="009A03A4" w:rsidRPr="002952E9">
              <w:rPr>
                <w:bCs/>
                <w:sz w:val="16"/>
                <w:szCs w:val="16"/>
              </w:rPr>
              <w:t>, work in 2022 has centered on roof replacements and tree removal.</w:t>
            </w:r>
          </w:p>
          <w:p w14:paraId="4ADC817D" w14:textId="25EFEE5E" w:rsidR="00A93D17" w:rsidRPr="002952E9" w:rsidRDefault="00B63C33" w:rsidP="00A93D17">
            <w:pPr>
              <w:pStyle w:val="ListParagraph"/>
              <w:numPr>
                <w:ilvl w:val="0"/>
                <w:numId w:val="33"/>
              </w:numPr>
              <w:rPr>
                <w:bCs/>
                <w:sz w:val="16"/>
                <w:szCs w:val="16"/>
              </w:rPr>
            </w:pPr>
            <w:r w:rsidRPr="002952E9">
              <w:rPr>
                <w:bCs/>
                <w:sz w:val="16"/>
                <w:szCs w:val="16"/>
              </w:rPr>
              <w:t>School Street Apartments – replacement of deteriorated wooden walkways, replacement of flooring in units to improve condition and marketability</w:t>
            </w:r>
            <w:r w:rsidR="00AB50C1" w:rsidRPr="002952E9">
              <w:rPr>
                <w:bCs/>
                <w:sz w:val="16"/>
                <w:szCs w:val="16"/>
              </w:rPr>
              <w:t xml:space="preserve"> is ongoing as </w:t>
            </w:r>
            <w:r w:rsidR="00D77477" w:rsidRPr="002952E9">
              <w:rPr>
                <w:bCs/>
                <w:sz w:val="16"/>
                <w:szCs w:val="16"/>
              </w:rPr>
              <w:t>apartments</w:t>
            </w:r>
            <w:r w:rsidR="00AB50C1" w:rsidRPr="002952E9">
              <w:rPr>
                <w:bCs/>
                <w:sz w:val="16"/>
                <w:szCs w:val="16"/>
              </w:rPr>
              <w:t xml:space="preserve"> turnover, removal of three dead trees in 2021, as well as repairs to damaged garage and garage door</w:t>
            </w:r>
            <w:r w:rsidR="00A16BEE" w:rsidRPr="002952E9">
              <w:rPr>
                <w:bCs/>
                <w:sz w:val="16"/>
                <w:szCs w:val="16"/>
              </w:rPr>
              <w:t xml:space="preserve">, and replacement of a water heater serving one of the 24-unit buildings, and new mulch in the playground area. In 2022, </w:t>
            </w:r>
            <w:r w:rsidR="00960A24" w:rsidRPr="002952E9">
              <w:rPr>
                <w:bCs/>
                <w:sz w:val="16"/>
                <w:szCs w:val="16"/>
              </w:rPr>
              <w:t xml:space="preserve">the development was refinanced to provide $225,000 of equity that we are using address needed repairs; to date, </w:t>
            </w:r>
            <w:r w:rsidR="00A16BEE" w:rsidRPr="002952E9">
              <w:rPr>
                <w:bCs/>
                <w:sz w:val="16"/>
                <w:szCs w:val="16"/>
              </w:rPr>
              <w:t>we have replaced the roof on one of the 24-unit buildings and replaced deteriorated wood siding panels</w:t>
            </w:r>
            <w:r w:rsidR="00960A24" w:rsidRPr="002952E9">
              <w:rPr>
                <w:bCs/>
                <w:sz w:val="16"/>
                <w:szCs w:val="16"/>
              </w:rPr>
              <w:t xml:space="preserve"> on both buildings. P</w:t>
            </w:r>
            <w:r w:rsidR="00460FDA" w:rsidRPr="002952E9">
              <w:rPr>
                <w:bCs/>
                <w:sz w:val="16"/>
                <w:szCs w:val="16"/>
              </w:rPr>
              <w:t>arking lot repairs and re-striping is also planned</w:t>
            </w:r>
            <w:r w:rsidR="00AB50C1" w:rsidRPr="002952E9">
              <w:rPr>
                <w:bCs/>
                <w:sz w:val="16"/>
                <w:szCs w:val="16"/>
              </w:rPr>
              <w:t>.</w:t>
            </w:r>
            <w:r w:rsidR="00F569BA" w:rsidRPr="002952E9">
              <w:rPr>
                <w:bCs/>
                <w:sz w:val="16"/>
                <w:szCs w:val="16"/>
              </w:rPr>
              <w:t xml:space="preserve">  The additional improvements needed at this market rate property are extensive </w:t>
            </w:r>
            <w:r w:rsidR="00C8180B" w:rsidRPr="002952E9">
              <w:rPr>
                <w:bCs/>
                <w:sz w:val="16"/>
                <w:szCs w:val="16"/>
              </w:rPr>
              <w:t>and DCHA is evaluating several options for this development, including a possible sale.</w:t>
            </w:r>
          </w:p>
          <w:p w14:paraId="754911C9" w14:textId="293DB281" w:rsidR="00AB50C1" w:rsidRPr="002952E9" w:rsidRDefault="00AB50C1" w:rsidP="001F02E5">
            <w:pPr>
              <w:pStyle w:val="ListParagraph"/>
              <w:numPr>
                <w:ilvl w:val="0"/>
                <w:numId w:val="33"/>
              </w:numPr>
              <w:rPr>
                <w:bCs/>
                <w:sz w:val="16"/>
                <w:szCs w:val="16"/>
              </w:rPr>
            </w:pPr>
            <w:r w:rsidRPr="002952E9">
              <w:rPr>
                <w:bCs/>
                <w:sz w:val="16"/>
                <w:szCs w:val="16"/>
              </w:rPr>
              <w:t xml:space="preserve">Bird Street Property – Replacement </w:t>
            </w:r>
            <w:r w:rsidR="001F02E5" w:rsidRPr="002952E9">
              <w:rPr>
                <w:bCs/>
                <w:sz w:val="16"/>
                <w:szCs w:val="16"/>
              </w:rPr>
              <w:t>of the building’s water heater</w:t>
            </w:r>
            <w:r w:rsidR="006673BC" w:rsidRPr="002952E9">
              <w:rPr>
                <w:bCs/>
                <w:sz w:val="16"/>
                <w:szCs w:val="16"/>
              </w:rPr>
              <w:t xml:space="preserve">, </w:t>
            </w:r>
            <w:r w:rsidRPr="002952E9">
              <w:rPr>
                <w:bCs/>
                <w:sz w:val="16"/>
                <w:szCs w:val="16"/>
              </w:rPr>
              <w:t>roof, soffit, fascia</w:t>
            </w:r>
            <w:r w:rsidR="003A27EA" w:rsidRPr="002952E9">
              <w:rPr>
                <w:bCs/>
                <w:sz w:val="16"/>
                <w:szCs w:val="16"/>
              </w:rPr>
              <w:t>,</w:t>
            </w:r>
            <w:r w:rsidRPr="002952E9">
              <w:rPr>
                <w:bCs/>
                <w:sz w:val="16"/>
                <w:szCs w:val="16"/>
              </w:rPr>
              <w:t xml:space="preserve"> and gutters </w:t>
            </w:r>
            <w:r w:rsidR="00460FDA" w:rsidRPr="002952E9">
              <w:rPr>
                <w:bCs/>
                <w:sz w:val="16"/>
                <w:szCs w:val="16"/>
              </w:rPr>
              <w:t>were completed in</w:t>
            </w:r>
            <w:r w:rsidRPr="002952E9">
              <w:rPr>
                <w:bCs/>
                <w:sz w:val="16"/>
                <w:szCs w:val="16"/>
              </w:rPr>
              <w:t xml:space="preserve"> 2021</w:t>
            </w:r>
            <w:r w:rsidR="001F02E5" w:rsidRPr="002952E9">
              <w:rPr>
                <w:bCs/>
                <w:sz w:val="16"/>
                <w:szCs w:val="16"/>
              </w:rPr>
              <w:t xml:space="preserve">. </w:t>
            </w:r>
            <w:r w:rsidR="00460FDA" w:rsidRPr="002952E9">
              <w:rPr>
                <w:bCs/>
                <w:sz w:val="16"/>
                <w:szCs w:val="16"/>
              </w:rPr>
              <w:t xml:space="preserve"> In addition</w:t>
            </w:r>
            <w:r w:rsidR="00960A24" w:rsidRPr="002952E9">
              <w:rPr>
                <w:bCs/>
                <w:sz w:val="16"/>
                <w:szCs w:val="16"/>
              </w:rPr>
              <w:t>,</w:t>
            </w:r>
            <w:r w:rsidR="00460FDA" w:rsidRPr="002952E9">
              <w:rPr>
                <w:bCs/>
                <w:sz w:val="16"/>
                <w:szCs w:val="16"/>
              </w:rPr>
              <w:t xml:space="preserve"> a unit that was uni</w:t>
            </w:r>
            <w:r w:rsidR="00960A24" w:rsidRPr="002952E9">
              <w:rPr>
                <w:bCs/>
                <w:sz w:val="16"/>
                <w:szCs w:val="16"/>
              </w:rPr>
              <w:t>nhabitable due to water damage was renovated and brought back online in Q4 2021.  A refinance intended to provide</w:t>
            </w:r>
            <w:r w:rsidR="0056445E">
              <w:rPr>
                <w:bCs/>
                <w:sz w:val="16"/>
                <w:szCs w:val="16"/>
              </w:rPr>
              <w:t xml:space="preserve"> </w:t>
            </w:r>
            <w:r w:rsidR="00960A24" w:rsidRPr="002952E9">
              <w:rPr>
                <w:bCs/>
                <w:sz w:val="16"/>
                <w:szCs w:val="16"/>
              </w:rPr>
              <w:t xml:space="preserve">funds for additional rehab has been approved.  Funds </w:t>
            </w:r>
            <w:r w:rsidR="006673BC" w:rsidRPr="002952E9">
              <w:rPr>
                <w:bCs/>
                <w:sz w:val="16"/>
                <w:szCs w:val="16"/>
              </w:rPr>
              <w:t>will be available once bids are obtained and available to provide to our lender.  Renovation of the interior hallways is one of the main projects planned.</w:t>
            </w:r>
          </w:p>
          <w:p w14:paraId="0FFA7D0A" w14:textId="46EF5F5A" w:rsidR="003D0567" w:rsidRPr="002952E9" w:rsidRDefault="003D0567" w:rsidP="003D0567">
            <w:pPr>
              <w:pStyle w:val="ListParagraph"/>
              <w:numPr>
                <w:ilvl w:val="0"/>
                <w:numId w:val="33"/>
              </w:numPr>
              <w:rPr>
                <w:bCs/>
                <w:sz w:val="16"/>
                <w:szCs w:val="16"/>
              </w:rPr>
            </w:pPr>
            <w:proofErr w:type="spellStart"/>
            <w:r w:rsidRPr="002952E9">
              <w:rPr>
                <w:bCs/>
                <w:sz w:val="16"/>
                <w:szCs w:val="16"/>
              </w:rPr>
              <w:lastRenderedPageBreak/>
              <w:t>Lothe</w:t>
            </w:r>
            <w:proofErr w:type="spellEnd"/>
            <w:r w:rsidRPr="002952E9">
              <w:rPr>
                <w:bCs/>
                <w:sz w:val="16"/>
                <w:szCs w:val="16"/>
              </w:rPr>
              <w:t xml:space="preserve"> Street Property - A refinance intended to provide funds for additional rehab has been approved.  Funds will be available once bids are obtained and available to provide to our lender.  Replacement of concrete stoops and repaving the parking lot are included in the renovation plans.</w:t>
            </w:r>
          </w:p>
          <w:p w14:paraId="6EA7E521" w14:textId="09E55CF9" w:rsidR="00C8180B" w:rsidRPr="002952E9" w:rsidRDefault="00B63C33" w:rsidP="00C8180B">
            <w:pPr>
              <w:pStyle w:val="ListParagraph"/>
              <w:numPr>
                <w:ilvl w:val="0"/>
                <w:numId w:val="33"/>
              </w:numPr>
              <w:rPr>
                <w:bCs/>
                <w:sz w:val="16"/>
                <w:szCs w:val="16"/>
              </w:rPr>
            </w:pPr>
            <w:r w:rsidRPr="002952E9">
              <w:rPr>
                <w:bCs/>
                <w:sz w:val="16"/>
                <w:szCs w:val="16"/>
              </w:rPr>
              <w:t xml:space="preserve">Belleville Senior Housing – </w:t>
            </w:r>
            <w:r w:rsidR="00041370" w:rsidRPr="002952E9">
              <w:rPr>
                <w:bCs/>
                <w:sz w:val="16"/>
                <w:szCs w:val="16"/>
              </w:rPr>
              <w:t>A s</w:t>
            </w:r>
            <w:r w:rsidRPr="002952E9">
              <w:rPr>
                <w:bCs/>
                <w:sz w:val="16"/>
                <w:szCs w:val="16"/>
              </w:rPr>
              <w:t xml:space="preserve">uccessful application for </w:t>
            </w:r>
            <w:r w:rsidR="00041370" w:rsidRPr="002952E9">
              <w:rPr>
                <w:bCs/>
                <w:sz w:val="16"/>
                <w:szCs w:val="16"/>
              </w:rPr>
              <w:t xml:space="preserve">a </w:t>
            </w:r>
            <w:r w:rsidRPr="002952E9">
              <w:rPr>
                <w:bCs/>
                <w:sz w:val="16"/>
                <w:szCs w:val="16"/>
              </w:rPr>
              <w:t>roof replacement grant from WHEDA’s Foundation cover</w:t>
            </w:r>
            <w:r w:rsidR="00041370" w:rsidRPr="002952E9">
              <w:rPr>
                <w:bCs/>
                <w:sz w:val="16"/>
                <w:szCs w:val="16"/>
              </w:rPr>
              <w:t>ed</w:t>
            </w:r>
            <w:r w:rsidRPr="002952E9">
              <w:rPr>
                <w:bCs/>
                <w:sz w:val="16"/>
                <w:szCs w:val="16"/>
              </w:rPr>
              <w:t xml:space="preserve"> </w:t>
            </w:r>
            <w:r w:rsidR="00041370" w:rsidRPr="002952E9">
              <w:rPr>
                <w:bCs/>
                <w:sz w:val="16"/>
                <w:szCs w:val="16"/>
              </w:rPr>
              <w:t xml:space="preserve">roughly </w:t>
            </w:r>
            <w:r w:rsidRPr="002952E9">
              <w:rPr>
                <w:bCs/>
                <w:sz w:val="16"/>
                <w:szCs w:val="16"/>
              </w:rPr>
              <w:t>half the cost of a new roof at this property</w:t>
            </w:r>
            <w:r w:rsidR="00041370" w:rsidRPr="002952E9">
              <w:rPr>
                <w:bCs/>
                <w:sz w:val="16"/>
                <w:szCs w:val="16"/>
              </w:rPr>
              <w:t xml:space="preserve"> that was completed in 2021</w:t>
            </w:r>
            <w:r w:rsidR="00E23128" w:rsidRPr="002952E9">
              <w:rPr>
                <w:bCs/>
                <w:sz w:val="16"/>
                <w:szCs w:val="16"/>
              </w:rPr>
              <w:t>.</w:t>
            </w:r>
            <w:r w:rsidR="00041370" w:rsidRPr="002952E9">
              <w:rPr>
                <w:bCs/>
                <w:sz w:val="16"/>
                <w:szCs w:val="16"/>
              </w:rPr>
              <w:t xml:space="preserve">  A refinance of the property in the fall of 2020 allowed us to pull $100,000 of cash out and invest that in the property’s replacement reserve, which was used to cover the remaining roof replacement costs </w:t>
            </w:r>
            <w:r w:rsidR="00960A24" w:rsidRPr="002952E9">
              <w:rPr>
                <w:bCs/>
                <w:sz w:val="16"/>
                <w:szCs w:val="16"/>
              </w:rPr>
              <w:t>as well as replacement of the building’s boiler and the</w:t>
            </w:r>
            <w:r w:rsidR="00041370" w:rsidRPr="002952E9">
              <w:rPr>
                <w:bCs/>
                <w:sz w:val="16"/>
                <w:szCs w:val="16"/>
              </w:rPr>
              <w:t xml:space="preserve"> retaining walls that lead to the entrance of the underground parking structur</w:t>
            </w:r>
            <w:r w:rsidR="00960A24" w:rsidRPr="002952E9">
              <w:rPr>
                <w:bCs/>
                <w:sz w:val="16"/>
                <w:szCs w:val="16"/>
              </w:rPr>
              <w:t>e.  The next project targeted here is</w:t>
            </w:r>
            <w:r w:rsidR="00041370" w:rsidRPr="002952E9">
              <w:rPr>
                <w:bCs/>
                <w:sz w:val="16"/>
                <w:szCs w:val="16"/>
              </w:rPr>
              <w:t xml:space="preserve"> re</w:t>
            </w:r>
            <w:r w:rsidR="00987102" w:rsidRPr="002952E9">
              <w:rPr>
                <w:bCs/>
                <w:sz w:val="16"/>
                <w:szCs w:val="16"/>
              </w:rPr>
              <w:t>paving</w:t>
            </w:r>
            <w:r w:rsidR="00041370" w:rsidRPr="002952E9">
              <w:rPr>
                <w:bCs/>
                <w:sz w:val="16"/>
                <w:szCs w:val="16"/>
              </w:rPr>
              <w:t xml:space="preserve"> </w:t>
            </w:r>
            <w:r w:rsidR="00987102" w:rsidRPr="002952E9">
              <w:rPr>
                <w:bCs/>
                <w:sz w:val="16"/>
                <w:szCs w:val="16"/>
              </w:rPr>
              <w:t>the drives and</w:t>
            </w:r>
            <w:r w:rsidR="00041370" w:rsidRPr="002952E9">
              <w:rPr>
                <w:bCs/>
                <w:sz w:val="16"/>
                <w:szCs w:val="16"/>
              </w:rPr>
              <w:t xml:space="preserve"> private streets that serve this larger senior housing neighborhood</w:t>
            </w:r>
            <w:r w:rsidR="00987102" w:rsidRPr="002952E9">
              <w:rPr>
                <w:bCs/>
                <w:sz w:val="16"/>
                <w:szCs w:val="16"/>
              </w:rPr>
              <w:t xml:space="preserve"> working on updating the documents that govern the property’s share of the costs</w:t>
            </w:r>
            <w:r w:rsidR="00041370" w:rsidRPr="002952E9">
              <w:rPr>
                <w:bCs/>
                <w:sz w:val="16"/>
                <w:szCs w:val="16"/>
              </w:rPr>
              <w:t>.</w:t>
            </w:r>
          </w:p>
          <w:p w14:paraId="3F2C72C8" w14:textId="451A98DB" w:rsidR="00987102" w:rsidRPr="002952E9" w:rsidRDefault="00987102" w:rsidP="00C8180B">
            <w:pPr>
              <w:pStyle w:val="ListParagraph"/>
              <w:numPr>
                <w:ilvl w:val="0"/>
                <w:numId w:val="33"/>
              </w:numPr>
              <w:rPr>
                <w:bCs/>
                <w:sz w:val="16"/>
                <w:szCs w:val="16"/>
              </w:rPr>
            </w:pPr>
            <w:r w:rsidRPr="002952E9">
              <w:rPr>
                <w:bCs/>
                <w:sz w:val="16"/>
                <w:szCs w:val="16"/>
              </w:rPr>
              <w:t>Valley View Apartments –</w:t>
            </w:r>
            <w:r w:rsidR="006673BC" w:rsidRPr="002952E9">
              <w:rPr>
                <w:bCs/>
                <w:sz w:val="16"/>
                <w:szCs w:val="16"/>
              </w:rPr>
              <w:t>Bids have been accepted to replace a deteriorated retaining wall at this 16-unit Section 8 property.  In addition, remodeling of 1</w:t>
            </w:r>
            <w:r w:rsidR="006673BC" w:rsidRPr="002952E9">
              <w:rPr>
                <w:bCs/>
                <w:sz w:val="16"/>
                <w:szCs w:val="16"/>
                <w:vertAlign w:val="superscript"/>
              </w:rPr>
              <w:t>st</w:t>
            </w:r>
            <w:r w:rsidR="006673BC" w:rsidRPr="002952E9">
              <w:rPr>
                <w:bCs/>
                <w:sz w:val="16"/>
                <w:szCs w:val="16"/>
              </w:rPr>
              <w:t xml:space="preserve"> floor common areas is targeted as a</w:t>
            </w:r>
            <w:r w:rsidR="003D0567" w:rsidRPr="002952E9">
              <w:rPr>
                <w:bCs/>
                <w:sz w:val="16"/>
                <w:szCs w:val="16"/>
              </w:rPr>
              <w:t xml:space="preserve"> project for Q4 2022 as well.</w:t>
            </w:r>
          </w:p>
          <w:p w14:paraId="37DB25E9" w14:textId="1EEE1555" w:rsidR="00C8180B" w:rsidRPr="002952E9" w:rsidRDefault="00C8180B" w:rsidP="00C8180B">
            <w:pPr>
              <w:pStyle w:val="ListParagraph"/>
              <w:numPr>
                <w:ilvl w:val="0"/>
                <w:numId w:val="33"/>
              </w:numPr>
              <w:rPr>
                <w:bCs/>
                <w:sz w:val="16"/>
                <w:szCs w:val="16"/>
              </w:rPr>
            </w:pPr>
            <w:r w:rsidRPr="002952E9">
              <w:rPr>
                <w:bCs/>
                <w:sz w:val="16"/>
                <w:szCs w:val="16"/>
              </w:rPr>
              <w:t xml:space="preserve">Riverview Apartments – Dead tree removal </w:t>
            </w:r>
            <w:r w:rsidR="00987102" w:rsidRPr="002952E9">
              <w:rPr>
                <w:bCs/>
                <w:sz w:val="16"/>
                <w:szCs w:val="16"/>
              </w:rPr>
              <w:t>has been completed</w:t>
            </w:r>
            <w:r w:rsidRPr="002952E9">
              <w:rPr>
                <w:bCs/>
                <w:sz w:val="16"/>
                <w:szCs w:val="16"/>
              </w:rPr>
              <w:t xml:space="preserve"> at this property in Black Earth</w:t>
            </w:r>
            <w:r w:rsidR="00987102" w:rsidRPr="002952E9">
              <w:rPr>
                <w:bCs/>
                <w:sz w:val="16"/>
                <w:szCs w:val="16"/>
              </w:rPr>
              <w:t>, and bids are being obtained to replace the exterior doors and windows</w:t>
            </w:r>
            <w:r w:rsidR="003D0567" w:rsidRPr="002952E9">
              <w:rPr>
                <w:bCs/>
                <w:sz w:val="16"/>
                <w:szCs w:val="16"/>
              </w:rPr>
              <w:t>.</w:t>
            </w:r>
          </w:p>
          <w:p w14:paraId="2EB50F1C" w14:textId="13469E43" w:rsidR="003D0567" w:rsidRDefault="003D0567" w:rsidP="00C8180B">
            <w:pPr>
              <w:pStyle w:val="ListParagraph"/>
              <w:numPr>
                <w:ilvl w:val="0"/>
                <w:numId w:val="33"/>
              </w:numPr>
              <w:rPr>
                <w:bCs/>
                <w:sz w:val="16"/>
                <w:szCs w:val="16"/>
              </w:rPr>
            </w:pPr>
            <w:r w:rsidRPr="002952E9">
              <w:rPr>
                <w:bCs/>
                <w:sz w:val="16"/>
                <w:szCs w:val="16"/>
              </w:rPr>
              <w:t>Mount Horeb Apartments – In 2022, we completed a refinance pulling $100,000 in equity to fund needed repairs, which include new roofs, replacement of a retaining wall, sidewalk and concrete replacement and repaving.  All work is planned for 2022.</w:t>
            </w:r>
          </w:p>
          <w:p w14:paraId="173226BE" w14:textId="7292235F" w:rsidR="00F55580" w:rsidRPr="002952E9" w:rsidRDefault="00F55580" w:rsidP="00C8180B">
            <w:pPr>
              <w:pStyle w:val="ListParagraph"/>
              <w:numPr>
                <w:ilvl w:val="0"/>
                <w:numId w:val="33"/>
              </w:numPr>
              <w:rPr>
                <w:bCs/>
                <w:sz w:val="16"/>
                <w:szCs w:val="16"/>
              </w:rPr>
            </w:pPr>
            <w:r>
              <w:rPr>
                <w:bCs/>
                <w:sz w:val="16"/>
                <w:szCs w:val="16"/>
              </w:rPr>
              <w:t>Mazomanie Downtown Apartments – Cash flow management is in place to ensure that enough funds are accumulated in the replacement reserve to fund a roof replacement project.  Goal is to complete this project in 2022 if possible.</w:t>
            </w:r>
          </w:p>
          <w:p w14:paraId="7C76841D" w14:textId="38341BE6" w:rsidR="00A93D17" w:rsidRPr="002952E9" w:rsidRDefault="00A93D17" w:rsidP="00B63C33">
            <w:pPr>
              <w:pStyle w:val="ListParagraph"/>
              <w:numPr>
                <w:ilvl w:val="0"/>
                <w:numId w:val="33"/>
              </w:numPr>
              <w:rPr>
                <w:bCs/>
                <w:sz w:val="16"/>
                <w:szCs w:val="16"/>
              </w:rPr>
            </w:pPr>
            <w:r w:rsidRPr="002952E9">
              <w:rPr>
                <w:bCs/>
                <w:sz w:val="16"/>
                <w:szCs w:val="16"/>
              </w:rPr>
              <w:t>Sawmill Road Group Home – Repairs made to accessible bathroom with roll-in shower.  Damage from leaks in</w:t>
            </w:r>
            <w:r w:rsidR="00AB50C1" w:rsidRPr="002952E9">
              <w:rPr>
                <w:bCs/>
                <w:sz w:val="16"/>
                <w:szCs w:val="16"/>
              </w:rPr>
              <w:t xml:space="preserve"> the</w:t>
            </w:r>
            <w:r w:rsidRPr="002952E9">
              <w:rPr>
                <w:bCs/>
                <w:sz w:val="16"/>
                <w:szCs w:val="16"/>
              </w:rPr>
              <w:t xml:space="preserve"> tile floor in bathroom lead to extensive damage to floor joints and beams beneath the </w:t>
            </w:r>
            <w:r w:rsidR="00AB50C1" w:rsidRPr="002952E9">
              <w:rPr>
                <w:bCs/>
                <w:sz w:val="16"/>
                <w:szCs w:val="16"/>
              </w:rPr>
              <w:t>tile and required extensive repairs. This work was completed in Q1 2021.  In addition, repairs to the garage door opener and tuckpointing of exterior brick walls have also been completed in 2021</w:t>
            </w:r>
            <w:r w:rsidR="006673BC" w:rsidRPr="002952E9">
              <w:rPr>
                <w:bCs/>
                <w:sz w:val="16"/>
                <w:szCs w:val="16"/>
              </w:rPr>
              <w:t xml:space="preserve"> and additional siding repairs have been completed in Q3 2022</w:t>
            </w:r>
            <w:r w:rsidR="00AB50C1" w:rsidRPr="002952E9">
              <w:rPr>
                <w:bCs/>
                <w:sz w:val="16"/>
                <w:szCs w:val="16"/>
              </w:rPr>
              <w:t>.</w:t>
            </w:r>
          </w:p>
          <w:p w14:paraId="4EA156FB" w14:textId="2C7E7222" w:rsidR="00FE6E6B" w:rsidRPr="002952E9" w:rsidRDefault="00B63C33" w:rsidP="006673BC">
            <w:pPr>
              <w:pStyle w:val="ListParagraph"/>
              <w:numPr>
                <w:ilvl w:val="0"/>
                <w:numId w:val="33"/>
              </w:numPr>
              <w:rPr>
                <w:bCs/>
                <w:sz w:val="16"/>
                <w:szCs w:val="16"/>
              </w:rPr>
            </w:pPr>
            <w:r w:rsidRPr="002952E9">
              <w:rPr>
                <w:bCs/>
                <w:sz w:val="16"/>
                <w:szCs w:val="16"/>
              </w:rPr>
              <w:t xml:space="preserve">Entire DCHA portfolio – Successful application for tree evaluation and replacement </w:t>
            </w:r>
            <w:r w:rsidR="00E23128" w:rsidRPr="002952E9">
              <w:rPr>
                <w:bCs/>
                <w:sz w:val="16"/>
                <w:szCs w:val="16"/>
              </w:rPr>
              <w:t>funded by WI DNR</w:t>
            </w:r>
            <w:r w:rsidR="00041370" w:rsidRPr="002952E9">
              <w:rPr>
                <w:bCs/>
                <w:sz w:val="16"/>
                <w:szCs w:val="16"/>
              </w:rPr>
              <w:t xml:space="preserve">.  The tree evaluation has been completed and final reports </w:t>
            </w:r>
            <w:r w:rsidR="006673BC" w:rsidRPr="002952E9">
              <w:rPr>
                <w:bCs/>
                <w:sz w:val="16"/>
                <w:szCs w:val="16"/>
              </w:rPr>
              <w:t xml:space="preserve">have been </w:t>
            </w:r>
            <w:r w:rsidR="00041370" w:rsidRPr="002952E9">
              <w:rPr>
                <w:bCs/>
                <w:sz w:val="16"/>
                <w:szCs w:val="16"/>
              </w:rPr>
              <w:t xml:space="preserve">prepared.  The grant provides for </w:t>
            </w:r>
            <w:r w:rsidR="00C23E4E" w:rsidRPr="002952E9">
              <w:rPr>
                <w:bCs/>
                <w:sz w:val="16"/>
                <w:szCs w:val="16"/>
              </w:rPr>
              <w:t>50 replacement trees, but unfortunately does not include funding for removal of dead or dying trees.  DCHA has begun removal of dead trees at several properties (School Street Apartments, Riverview Apartments, DCHA public housing) using other fund</w:t>
            </w:r>
            <w:r w:rsidR="006673BC" w:rsidRPr="002952E9">
              <w:rPr>
                <w:bCs/>
                <w:sz w:val="16"/>
                <w:szCs w:val="16"/>
              </w:rPr>
              <w:t>s.</w:t>
            </w:r>
          </w:p>
          <w:p w14:paraId="10981A61" w14:textId="77777777" w:rsidR="00B63C33" w:rsidRPr="002952E9" w:rsidRDefault="00B63C33" w:rsidP="00E23128">
            <w:pPr>
              <w:ind w:left="360"/>
              <w:rPr>
                <w:bCs/>
                <w:sz w:val="16"/>
                <w:szCs w:val="16"/>
              </w:rPr>
            </w:pPr>
          </w:p>
          <w:p w14:paraId="368B4A95" w14:textId="43B5C138" w:rsidR="00FE6E6B" w:rsidRPr="002952E9" w:rsidRDefault="00FE6E6B" w:rsidP="00FE6E6B">
            <w:pPr>
              <w:rPr>
                <w:b/>
                <w:sz w:val="16"/>
                <w:szCs w:val="16"/>
              </w:rPr>
            </w:pPr>
            <w:r w:rsidRPr="002952E9">
              <w:rPr>
                <w:b/>
                <w:sz w:val="16"/>
                <w:szCs w:val="16"/>
              </w:rPr>
              <w:t>Violence Against Women Act (VAWA) Compliance</w:t>
            </w:r>
          </w:p>
          <w:p w14:paraId="18B90F4C" w14:textId="77777777" w:rsidR="00FE6E6B" w:rsidRPr="002952E9" w:rsidRDefault="00FE6E6B" w:rsidP="00FE6E6B">
            <w:pPr>
              <w:rPr>
                <w:b/>
                <w:sz w:val="16"/>
                <w:szCs w:val="16"/>
              </w:rPr>
            </w:pPr>
          </w:p>
          <w:p w14:paraId="02DE65B6" w14:textId="52A15396" w:rsidR="00967421" w:rsidRPr="002952E9" w:rsidRDefault="00FE6E6B" w:rsidP="00551431">
            <w:pPr>
              <w:rPr>
                <w:bCs/>
                <w:sz w:val="16"/>
                <w:szCs w:val="16"/>
              </w:rPr>
            </w:pPr>
            <w:r w:rsidRPr="002952E9">
              <w:rPr>
                <w:bCs/>
                <w:sz w:val="16"/>
                <w:szCs w:val="16"/>
              </w:rPr>
              <w:t>DCHA continues</w:t>
            </w:r>
            <w:r w:rsidR="00060DB9" w:rsidRPr="002952E9">
              <w:rPr>
                <w:bCs/>
                <w:sz w:val="16"/>
                <w:szCs w:val="16"/>
              </w:rPr>
              <w:t xml:space="preserve"> to follow VAWA protections and provisions, including notifying applicants and program participants of their rights under VAWA, as well as including VAWA language in DCHA’s Section 8 Housing Assistance Payment Contract and DCHA’s leases for Public Housing. DCHA’s HCV program offers a preference to families that include victims of domestic violence, dating violence, sexual assault, or stalking who are seeking an emergency transfer under from the PHA’s public housing program or other covered housing program operated by the PHA.  DCHA is also planning to add a description of VAWA to its website as part of a broader effort to provide more information and resources to our residents and the larger community.</w:t>
            </w:r>
          </w:p>
          <w:p w14:paraId="12109050" w14:textId="207D1957" w:rsidR="00D77477" w:rsidRPr="002952E9" w:rsidRDefault="00D77477" w:rsidP="00551431">
            <w:pPr>
              <w:rPr>
                <w:bCs/>
                <w:sz w:val="16"/>
                <w:szCs w:val="16"/>
              </w:rPr>
            </w:pPr>
          </w:p>
          <w:p w14:paraId="7A41F4FF" w14:textId="4981AFF1" w:rsidR="00D77477" w:rsidRPr="002952E9" w:rsidRDefault="00D77477" w:rsidP="00551431">
            <w:pPr>
              <w:rPr>
                <w:bCs/>
                <w:sz w:val="16"/>
                <w:szCs w:val="16"/>
              </w:rPr>
            </w:pPr>
            <w:r w:rsidRPr="002952E9">
              <w:rPr>
                <w:bCs/>
                <w:sz w:val="16"/>
                <w:szCs w:val="16"/>
              </w:rPr>
              <w:t xml:space="preserve">In addition, as mentioned in the EHV description above, </w:t>
            </w:r>
            <w:r w:rsidR="00257D92" w:rsidRPr="002952E9">
              <w:rPr>
                <w:bCs/>
                <w:sz w:val="16"/>
                <w:szCs w:val="16"/>
              </w:rPr>
              <w:t>is</w:t>
            </w:r>
            <w:r w:rsidRPr="002952E9">
              <w:rPr>
                <w:bCs/>
                <w:sz w:val="16"/>
                <w:szCs w:val="16"/>
              </w:rPr>
              <w:t xml:space="preserve"> working with Domestic Abuse Intervention Services (DAIS) for case management with</w:t>
            </w:r>
            <w:r w:rsidR="00257D92" w:rsidRPr="002952E9">
              <w:rPr>
                <w:bCs/>
                <w:sz w:val="16"/>
                <w:szCs w:val="16"/>
              </w:rPr>
              <w:t xml:space="preserve"> several</w:t>
            </w:r>
            <w:r w:rsidRPr="002952E9">
              <w:rPr>
                <w:bCs/>
                <w:sz w:val="16"/>
                <w:szCs w:val="16"/>
              </w:rPr>
              <w:t xml:space="preserve"> families who have an EHV.  DCHA values this new partnership with DAIS.</w:t>
            </w:r>
          </w:p>
          <w:p w14:paraId="17D6A214" w14:textId="2014A120" w:rsidR="009924C0" w:rsidRPr="002952E9" w:rsidRDefault="009924C0" w:rsidP="00551431">
            <w:pPr>
              <w:rPr>
                <w:bCs/>
                <w:sz w:val="16"/>
                <w:szCs w:val="16"/>
              </w:rPr>
            </w:pPr>
          </w:p>
          <w:p w14:paraId="52760385" w14:textId="77777777" w:rsidR="009924C0" w:rsidRPr="002952E9" w:rsidRDefault="009924C0" w:rsidP="00551431">
            <w:pPr>
              <w:rPr>
                <w:bCs/>
                <w:sz w:val="16"/>
                <w:szCs w:val="16"/>
              </w:rPr>
            </w:pPr>
          </w:p>
          <w:p w14:paraId="524A5101" w14:textId="77777777" w:rsidR="00551431" w:rsidRPr="002952E9" w:rsidRDefault="00551431" w:rsidP="00551431">
            <w:pPr>
              <w:tabs>
                <w:tab w:val="left" w:pos="689"/>
              </w:tabs>
              <w:jc w:val="center"/>
              <w:rPr>
                <w:b/>
                <w:bCs/>
                <w:sz w:val="16"/>
                <w:szCs w:val="16"/>
              </w:rPr>
            </w:pPr>
          </w:p>
        </w:tc>
      </w:tr>
      <w:tr w:rsidR="00551431" w14:paraId="37C4DDB4" w14:textId="77777777" w:rsidTr="00FE242D">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5F43590" w14:textId="77777777" w:rsidR="00551431" w:rsidRDefault="00551431" w:rsidP="00551431">
            <w:pPr>
              <w:jc w:val="center"/>
              <w:rPr>
                <w:b/>
                <w:bCs/>
                <w:sz w:val="16"/>
                <w:szCs w:val="16"/>
              </w:rPr>
            </w:pPr>
          </w:p>
          <w:p w14:paraId="44B7AEB4" w14:textId="77777777" w:rsidR="00551431" w:rsidRDefault="00022E12" w:rsidP="00551431">
            <w:pPr>
              <w:jc w:val="center"/>
              <w:rPr>
                <w:b/>
                <w:bCs/>
                <w:sz w:val="16"/>
                <w:szCs w:val="16"/>
              </w:rPr>
            </w:pPr>
            <w:r>
              <w:rPr>
                <w:b/>
                <w:bCs/>
                <w:sz w:val="16"/>
                <w:szCs w:val="16"/>
              </w:rPr>
              <w:t>B.6</w:t>
            </w:r>
          </w:p>
        </w:tc>
        <w:tc>
          <w:tcPr>
            <w:tcW w:w="9720" w:type="dxa"/>
            <w:gridSpan w:val="6"/>
            <w:tcBorders>
              <w:top w:val="single" w:sz="4" w:space="0" w:color="auto"/>
              <w:left w:val="single" w:sz="4" w:space="0" w:color="auto"/>
              <w:bottom w:val="single" w:sz="4" w:space="0" w:color="auto"/>
              <w:right w:val="single" w:sz="4" w:space="0" w:color="auto"/>
            </w:tcBorders>
          </w:tcPr>
          <w:p w14:paraId="55B5FD9D" w14:textId="77777777" w:rsidR="00551431" w:rsidRPr="00B32F70" w:rsidRDefault="00551431" w:rsidP="00551431">
            <w:pPr>
              <w:rPr>
                <w:b/>
                <w:bCs/>
                <w:sz w:val="16"/>
                <w:szCs w:val="16"/>
              </w:rPr>
            </w:pPr>
          </w:p>
          <w:p w14:paraId="41CF6227" w14:textId="77777777" w:rsidR="00551431" w:rsidRPr="00BE5FE4" w:rsidRDefault="00551431" w:rsidP="00551431">
            <w:pPr>
              <w:rPr>
                <w:bCs/>
                <w:sz w:val="16"/>
                <w:szCs w:val="16"/>
              </w:rPr>
            </w:pPr>
            <w:r w:rsidRPr="00B32F70">
              <w:rPr>
                <w:b/>
                <w:bCs/>
                <w:sz w:val="16"/>
                <w:szCs w:val="16"/>
              </w:rPr>
              <w:t xml:space="preserve">Resident Advisory Board (RAB) Comments.   </w:t>
            </w:r>
          </w:p>
          <w:p w14:paraId="4BF53E25" w14:textId="77777777" w:rsidR="00551431" w:rsidRDefault="00551431" w:rsidP="00551431">
            <w:pPr>
              <w:rPr>
                <w:bCs/>
                <w:sz w:val="16"/>
                <w:szCs w:val="16"/>
              </w:rPr>
            </w:pPr>
          </w:p>
          <w:p w14:paraId="1A5DF254" w14:textId="77777777" w:rsidR="00551431" w:rsidRPr="00DE62BF" w:rsidRDefault="00551431" w:rsidP="0055143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14:paraId="21262EAC" w14:textId="77777777" w:rsidR="00551431" w:rsidRPr="00DE62BF" w:rsidRDefault="00551431" w:rsidP="00551431"/>
          <w:p w14:paraId="50D95220" w14:textId="77777777" w:rsidR="00551431" w:rsidRPr="00BE5FE4" w:rsidRDefault="00551431" w:rsidP="00551431">
            <w:pPr>
              <w:rPr>
                <w:bCs/>
                <w:sz w:val="16"/>
                <w:szCs w:val="16"/>
              </w:rPr>
            </w:pPr>
            <w:r w:rsidRPr="00BE5FE4">
              <w:rPr>
                <w:bCs/>
                <w:sz w:val="16"/>
                <w:szCs w:val="16"/>
              </w:rPr>
              <w:t xml:space="preserve">Y     N   </w:t>
            </w:r>
          </w:p>
          <w:p w14:paraId="3C308711" w14:textId="3A2DF8FE"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551431" w:rsidRPr="00BE5FE4">
              <w:rPr>
                <w:bCs/>
                <w:sz w:val="16"/>
                <w:szCs w:val="16"/>
              </w:rPr>
              <w:t xml:space="preserve">  </w:t>
            </w:r>
            <w:r w:rsidR="00A375D1">
              <w:rPr>
                <w:bCs/>
                <w:sz w:val="16"/>
                <w:szCs w:val="16"/>
              </w:rPr>
              <w:fldChar w:fldCharType="begin">
                <w:ffData>
                  <w:name w:val=""/>
                  <w:enabled/>
                  <w:calcOnExit w:val="0"/>
                  <w:checkBox>
                    <w:sizeAuto/>
                    <w:default w:val="1"/>
                  </w:checkBox>
                </w:ffData>
              </w:fldChar>
            </w:r>
            <w:r w:rsidR="00A375D1">
              <w:rPr>
                <w:bCs/>
                <w:sz w:val="16"/>
                <w:szCs w:val="16"/>
              </w:rPr>
              <w:instrText xml:space="preserve"> FORMCHECKBOX </w:instrText>
            </w:r>
            <w:r w:rsidR="00000000">
              <w:rPr>
                <w:bCs/>
                <w:sz w:val="16"/>
                <w:szCs w:val="16"/>
              </w:rPr>
            </w:r>
            <w:r w:rsidR="00000000">
              <w:rPr>
                <w:bCs/>
                <w:sz w:val="16"/>
                <w:szCs w:val="16"/>
              </w:rPr>
              <w:fldChar w:fldCharType="separate"/>
            </w:r>
            <w:r w:rsidR="00A375D1">
              <w:rPr>
                <w:bCs/>
                <w:sz w:val="16"/>
                <w:szCs w:val="16"/>
              </w:rPr>
              <w:fldChar w:fldCharType="end"/>
            </w:r>
            <w:r w:rsidR="00551431" w:rsidRPr="00BE5FE4">
              <w:rPr>
                <w:bCs/>
                <w:sz w:val="16"/>
                <w:szCs w:val="16"/>
              </w:rPr>
              <w:t xml:space="preserve">  </w:t>
            </w:r>
          </w:p>
          <w:p w14:paraId="2CBA712B" w14:textId="77777777" w:rsidR="00551431" w:rsidRPr="00BE5FE4" w:rsidRDefault="00551431" w:rsidP="00551431">
            <w:pPr>
              <w:rPr>
                <w:bCs/>
                <w:sz w:val="16"/>
                <w:szCs w:val="16"/>
              </w:rPr>
            </w:pPr>
          </w:p>
          <w:p w14:paraId="079437DF" w14:textId="019D1AD8" w:rsidR="00551431" w:rsidRDefault="00551431" w:rsidP="00B63EA7">
            <w:pPr>
              <w:pStyle w:val="ListParagraph"/>
              <w:numPr>
                <w:ilvl w:val="0"/>
                <w:numId w:val="25"/>
              </w:numPr>
              <w:rPr>
                <w:bCs/>
                <w:sz w:val="16"/>
                <w:szCs w:val="16"/>
              </w:rPr>
            </w:pPr>
            <w:r w:rsidRPr="00B63EA7">
              <w:rPr>
                <w:bCs/>
                <w:sz w:val="16"/>
                <w:szCs w:val="16"/>
              </w:rPr>
              <w:t>If yes, comments must be submitted by the PHA as an attachment to the PHA Plan.  PHAs must also include a narrative describing their analysis of the RAB recommendations and the decisions made on these recommendations.</w:t>
            </w:r>
          </w:p>
          <w:p w14:paraId="031B8B4B" w14:textId="63809985" w:rsidR="009C40BF" w:rsidRPr="00B63EA7" w:rsidRDefault="009C40BF" w:rsidP="00B63EA7">
            <w:pPr>
              <w:pStyle w:val="ListParagraph"/>
              <w:numPr>
                <w:ilvl w:val="0"/>
                <w:numId w:val="25"/>
              </w:numPr>
              <w:rPr>
                <w:bCs/>
                <w:sz w:val="16"/>
                <w:szCs w:val="16"/>
              </w:rPr>
            </w:pPr>
            <w:r>
              <w:rPr>
                <w:bCs/>
                <w:sz w:val="16"/>
                <w:szCs w:val="16"/>
              </w:rPr>
              <w:t>No comments to the plan were provided at the RAB meeting.</w:t>
            </w:r>
          </w:p>
          <w:p w14:paraId="5C3010CB" w14:textId="77777777" w:rsidR="00B63EA7" w:rsidRPr="00B63EA7" w:rsidRDefault="00B63EA7" w:rsidP="00B63EA7">
            <w:pPr>
              <w:pStyle w:val="ListParagraph"/>
              <w:rPr>
                <w:bCs/>
                <w:sz w:val="16"/>
                <w:szCs w:val="16"/>
              </w:rPr>
            </w:pPr>
          </w:p>
          <w:p w14:paraId="3B013116" w14:textId="77777777" w:rsidR="00551431" w:rsidRDefault="00551431" w:rsidP="00551431">
            <w:pPr>
              <w:rPr>
                <w:b/>
                <w:bCs/>
                <w:sz w:val="16"/>
                <w:szCs w:val="16"/>
              </w:rPr>
            </w:pPr>
          </w:p>
        </w:tc>
      </w:tr>
      <w:tr w:rsidR="00551431" w14:paraId="58B478C8" w14:textId="77777777" w:rsidTr="00FE242D">
        <w:trPr>
          <w:cantSplit/>
          <w:trHeight w:val="1248"/>
        </w:trPr>
        <w:tc>
          <w:tcPr>
            <w:tcW w:w="540" w:type="dxa"/>
            <w:tcBorders>
              <w:top w:val="single" w:sz="4" w:space="0" w:color="auto"/>
              <w:left w:val="single" w:sz="4" w:space="0" w:color="auto"/>
              <w:bottom w:val="single" w:sz="4" w:space="0" w:color="auto"/>
              <w:right w:val="single" w:sz="4" w:space="0" w:color="auto"/>
            </w:tcBorders>
          </w:tcPr>
          <w:p w14:paraId="167A0B86" w14:textId="77777777" w:rsidR="00551431" w:rsidRDefault="00551431" w:rsidP="00551431">
            <w:pPr>
              <w:jc w:val="center"/>
              <w:rPr>
                <w:rFonts w:eastAsia="Calibri"/>
                <w:b/>
                <w:bCs/>
                <w:sz w:val="16"/>
                <w:szCs w:val="16"/>
              </w:rPr>
            </w:pPr>
          </w:p>
          <w:p w14:paraId="6318D1F1" w14:textId="77777777" w:rsidR="00551431" w:rsidRDefault="00022E12" w:rsidP="00551431">
            <w:pPr>
              <w:rPr>
                <w:rFonts w:eastAsia="Calibri"/>
                <w:b/>
                <w:bCs/>
                <w:sz w:val="16"/>
                <w:szCs w:val="16"/>
              </w:rPr>
            </w:pPr>
            <w:r>
              <w:rPr>
                <w:b/>
                <w:bCs/>
                <w:sz w:val="16"/>
                <w:szCs w:val="16"/>
              </w:rPr>
              <w:t>B.7</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4A3B0894" w14:textId="77777777" w:rsidR="00551431" w:rsidRDefault="00551431" w:rsidP="00551431">
            <w:pPr>
              <w:rPr>
                <w:rFonts w:eastAsia="Calibri"/>
                <w:b/>
                <w:bCs/>
                <w:sz w:val="16"/>
                <w:szCs w:val="16"/>
              </w:rPr>
            </w:pPr>
          </w:p>
          <w:p w14:paraId="55C50389" w14:textId="77777777" w:rsidR="00551431" w:rsidRDefault="00551431" w:rsidP="00551431">
            <w:pPr>
              <w:rPr>
                <w:rFonts w:ascii="Calibri" w:hAnsi="Calibri"/>
                <w:b/>
                <w:bCs/>
                <w:sz w:val="16"/>
                <w:szCs w:val="16"/>
              </w:rPr>
            </w:pPr>
            <w:r>
              <w:rPr>
                <w:b/>
                <w:bCs/>
                <w:sz w:val="16"/>
                <w:szCs w:val="16"/>
              </w:rPr>
              <w:t xml:space="preserve">Certification by State or Local Officials. </w:t>
            </w:r>
          </w:p>
          <w:p w14:paraId="02257C95" w14:textId="77777777" w:rsidR="00551431" w:rsidRDefault="00551431" w:rsidP="00551431">
            <w:pPr>
              <w:rPr>
                <w:b/>
                <w:bCs/>
                <w:sz w:val="16"/>
                <w:szCs w:val="16"/>
              </w:rPr>
            </w:pPr>
          </w:p>
          <w:p w14:paraId="7329237D" w14:textId="2DFA9DBC" w:rsidR="00551431" w:rsidRDefault="00000000" w:rsidP="00551431">
            <w:pPr>
              <w:rPr>
                <w:sz w:val="16"/>
                <w:szCs w:val="16"/>
              </w:rPr>
            </w:pPr>
            <w:hyperlink r:id="rId13" w:history="1">
              <w:r w:rsidR="00551431">
                <w:rPr>
                  <w:rStyle w:val="Hyperlink"/>
                  <w:sz w:val="16"/>
                  <w:szCs w:val="16"/>
                </w:rPr>
                <w:t>Form HUD 50077-SL</w:t>
              </w:r>
            </w:hyperlink>
            <w:r w:rsidR="00551431">
              <w:rPr>
                <w:sz w:val="16"/>
                <w:szCs w:val="16"/>
              </w:rPr>
              <w:t xml:space="preserve">, </w:t>
            </w:r>
            <w:r w:rsidR="00551431">
              <w:rPr>
                <w:i/>
                <w:iCs/>
                <w:sz w:val="16"/>
                <w:szCs w:val="16"/>
              </w:rPr>
              <w:t>Certification by State or Local Officials of PHA Plans Consistency with the Consolidated Plan</w:t>
            </w:r>
            <w:r w:rsidR="00551431">
              <w:rPr>
                <w:sz w:val="16"/>
                <w:szCs w:val="16"/>
              </w:rPr>
              <w:t>, must be submitted by the PHA as an electronic attachment to the PHA Plan.</w:t>
            </w:r>
            <w:r w:rsidR="007B1CC2">
              <w:rPr>
                <w:sz w:val="16"/>
                <w:szCs w:val="16"/>
              </w:rPr>
              <w:t xml:space="preserve"> – Attached.</w:t>
            </w:r>
          </w:p>
          <w:p w14:paraId="0C435792" w14:textId="77777777" w:rsidR="00551431" w:rsidRDefault="00551431" w:rsidP="00551431">
            <w:pPr>
              <w:rPr>
                <w:rFonts w:eastAsia="Calibri"/>
                <w:b/>
                <w:bCs/>
                <w:sz w:val="20"/>
                <w:szCs w:val="20"/>
              </w:rPr>
            </w:pPr>
          </w:p>
        </w:tc>
        <w:tc>
          <w:tcPr>
            <w:tcW w:w="9720" w:type="dxa"/>
            <w:tcBorders>
              <w:top w:val="nil"/>
              <w:left w:val="single" w:sz="4" w:space="0" w:color="auto"/>
              <w:bottom w:val="nil"/>
              <w:right w:val="nil"/>
            </w:tcBorders>
          </w:tcPr>
          <w:p w14:paraId="0E83287A" w14:textId="77777777" w:rsidR="00551431" w:rsidRDefault="00551431" w:rsidP="00551431">
            <w:pPr>
              <w:rPr>
                <w:b/>
                <w:bCs/>
                <w:sz w:val="16"/>
                <w:szCs w:val="16"/>
              </w:rPr>
            </w:pPr>
          </w:p>
        </w:tc>
      </w:tr>
      <w:tr w:rsidR="00551431" w14:paraId="251EAEAB" w14:textId="77777777" w:rsidTr="00FE242D">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E8A6DCB" w14:textId="77777777" w:rsidR="00551431" w:rsidRDefault="00551431" w:rsidP="00551431">
            <w:pPr>
              <w:jc w:val="center"/>
              <w:rPr>
                <w:b/>
                <w:bCs/>
                <w:sz w:val="16"/>
                <w:szCs w:val="16"/>
              </w:rPr>
            </w:pPr>
          </w:p>
          <w:p w14:paraId="3FA2D61E" w14:textId="77777777" w:rsidR="00551431" w:rsidRDefault="00022E12" w:rsidP="00551431">
            <w:pPr>
              <w:jc w:val="center"/>
              <w:rPr>
                <w:b/>
                <w:bCs/>
                <w:sz w:val="16"/>
                <w:szCs w:val="16"/>
              </w:rPr>
            </w:pPr>
            <w:r>
              <w:rPr>
                <w:b/>
                <w:bCs/>
                <w:sz w:val="16"/>
                <w:szCs w:val="16"/>
              </w:rPr>
              <w:t>B.8</w:t>
            </w:r>
          </w:p>
        </w:tc>
        <w:tc>
          <w:tcPr>
            <w:tcW w:w="9720" w:type="dxa"/>
            <w:gridSpan w:val="6"/>
            <w:tcBorders>
              <w:top w:val="single" w:sz="4" w:space="0" w:color="auto"/>
              <w:left w:val="single" w:sz="4" w:space="0" w:color="auto"/>
              <w:bottom w:val="single" w:sz="4" w:space="0" w:color="auto"/>
              <w:right w:val="single" w:sz="4" w:space="0" w:color="auto"/>
            </w:tcBorders>
          </w:tcPr>
          <w:p w14:paraId="64FD20C7" w14:textId="77777777" w:rsidR="00551431" w:rsidRDefault="00551431" w:rsidP="00551431">
            <w:pPr>
              <w:rPr>
                <w:b/>
                <w:bCs/>
                <w:sz w:val="16"/>
                <w:szCs w:val="16"/>
              </w:rPr>
            </w:pPr>
          </w:p>
          <w:p w14:paraId="5DDF5100" w14:textId="77777777" w:rsidR="00551431" w:rsidRDefault="00551431" w:rsidP="00551431">
            <w:pPr>
              <w:rPr>
                <w:bCs/>
                <w:sz w:val="16"/>
                <w:szCs w:val="16"/>
              </w:rPr>
            </w:pPr>
            <w:r>
              <w:rPr>
                <w:b/>
                <w:bCs/>
                <w:sz w:val="16"/>
                <w:szCs w:val="16"/>
              </w:rPr>
              <w:t xml:space="preserve">Troubled PHA.  </w:t>
            </w:r>
          </w:p>
          <w:p w14:paraId="5B335D9E" w14:textId="77777777" w:rsidR="00551431" w:rsidRPr="00BE5FE4" w:rsidRDefault="00551431" w:rsidP="00551431">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14:paraId="5C9B5076" w14:textId="77777777" w:rsidR="00551431" w:rsidRPr="00BE5FE4" w:rsidRDefault="00551431" w:rsidP="00551431">
            <w:pPr>
              <w:rPr>
                <w:bCs/>
                <w:sz w:val="16"/>
                <w:szCs w:val="16"/>
              </w:rPr>
            </w:pPr>
            <w:r>
              <w:rPr>
                <w:bCs/>
                <w:sz w:val="16"/>
                <w:szCs w:val="16"/>
              </w:rPr>
              <w:t xml:space="preserve">Y     </w:t>
            </w:r>
            <w:proofErr w:type="gramStart"/>
            <w:r>
              <w:rPr>
                <w:bCs/>
                <w:sz w:val="16"/>
                <w:szCs w:val="16"/>
              </w:rPr>
              <w:t>N  N</w:t>
            </w:r>
            <w:proofErr w:type="gramEnd"/>
            <w:r>
              <w:rPr>
                <w:bCs/>
                <w:sz w:val="16"/>
                <w:szCs w:val="16"/>
              </w:rPr>
              <w:t>/A</w:t>
            </w:r>
            <w:r w:rsidRPr="00BE5FE4">
              <w:rPr>
                <w:bCs/>
                <w:sz w:val="16"/>
                <w:szCs w:val="16"/>
              </w:rPr>
              <w:t xml:space="preserve">   </w:t>
            </w:r>
          </w:p>
          <w:p w14:paraId="4D6AA572" w14:textId="4342E2AF" w:rsidR="00551431" w:rsidRPr="00BE5FE4" w:rsidRDefault="00B523B7" w:rsidP="00551431">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551431" w:rsidRPr="00BE5FE4">
              <w:rPr>
                <w:bCs/>
                <w:sz w:val="16"/>
                <w:szCs w:val="16"/>
              </w:rPr>
              <w:t xml:space="preserve">  </w:t>
            </w: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551431"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551431" w:rsidRPr="00BE5FE4">
              <w:rPr>
                <w:bCs/>
                <w:sz w:val="16"/>
                <w:szCs w:val="16"/>
              </w:rPr>
              <w:t xml:space="preserve">  </w:t>
            </w:r>
          </w:p>
          <w:p w14:paraId="0F59D372" w14:textId="77777777" w:rsidR="00551431" w:rsidRPr="00BE5FE4" w:rsidRDefault="00551431" w:rsidP="00551431">
            <w:pPr>
              <w:rPr>
                <w:bCs/>
                <w:sz w:val="16"/>
                <w:szCs w:val="16"/>
              </w:rPr>
            </w:pPr>
          </w:p>
          <w:p w14:paraId="39C57385" w14:textId="0EDEB7D3" w:rsidR="00B523B7" w:rsidRDefault="00551431" w:rsidP="00551431">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14:paraId="441DD1BF" w14:textId="77777777" w:rsidR="00B523B7" w:rsidRDefault="00B523B7" w:rsidP="00551431">
            <w:pPr>
              <w:rPr>
                <w:bCs/>
                <w:sz w:val="16"/>
                <w:szCs w:val="16"/>
              </w:rPr>
            </w:pPr>
          </w:p>
          <w:p w14:paraId="4480DE16" w14:textId="5034FE94" w:rsidR="00B523B7" w:rsidRDefault="00B523B7" w:rsidP="00551431">
            <w:pPr>
              <w:rPr>
                <w:bCs/>
                <w:sz w:val="16"/>
                <w:szCs w:val="16"/>
              </w:rPr>
            </w:pPr>
            <w:r>
              <w:rPr>
                <w:bCs/>
                <w:sz w:val="16"/>
                <w:szCs w:val="16"/>
              </w:rPr>
              <w:t xml:space="preserve">DCHA has a </w:t>
            </w:r>
            <w:r w:rsidR="0012365A">
              <w:rPr>
                <w:bCs/>
                <w:sz w:val="16"/>
                <w:szCs w:val="16"/>
              </w:rPr>
              <w:t xml:space="preserve">2020 </w:t>
            </w:r>
            <w:r>
              <w:rPr>
                <w:bCs/>
                <w:sz w:val="16"/>
                <w:szCs w:val="16"/>
              </w:rPr>
              <w:t xml:space="preserve">Shortfall Improvement Plan that was approved by HUD on 1/21/2021, </w:t>
            </w:r>
            <w:r w:rsidR="0012365A">
              <w:rPr>
                <w:bCs/>
                <w:sz w:val="16"/>
                <w:szCs w:val="16"/>
              </w:rPr>
              <w:t xml:space="preserve">and a 2021 Shortfall Improvement Plan that was submitted to HUD on 12/10/2021, </w:t>
            </w:r>
            <w:r>
              <w:rPr>
                <w:bCs/>
                <w:sz w:val="16"/>
                <w:szCs w:val="16"/>
              </w:rPr>
              <w:t>which relate to additional funds allocated to DCHA due to a shortfall in public housing reserves.</w:t>
            </w:r>
            <w:r w:rsidR="0012365A">
              <w:rPr>
                <w:bCs/>
                <w:sz w:val="16"/>
                <w:szCs w:val="16"/>
              </w:rPr>
              <w:t xml:space="preserve">  We are building a public housing reserve by using these shortfall funds to cover public housing operations, which allows DCHA to use our regular operating subsidy.  As of August 2022, the reserve has grown to </w:t>
            </w:r>
            <w:r w:rsidR="008C634F">
              <w:rPr>
                <w:bCs/>
                <w:sz w:val="16"/>
                <w:szCs w:val="16"/>
              </w:rPr>
              <w:t>over $200,000.</w:t>
            </w:r>
          </w:p>
          <w:p w14:paraId="7EC98F7C" w14:textId="15928B40" w:rsidR="00B523B7" w:rsidRDefault="00B523B7" w:rsidP="00551431">
            <w:pPr>
              <w:rPr>
                <w:bCs/>
                <w:sz w:val="16"/>
                <w:szCs w:val="16"/>
              </w:rPr>
            </w:pPr>
          </w:p>
          <w:p w14:paraId="18A33DAE" w14:textId="77777777" w:rsidR="00C634B7" w:rsidRDefault="00B523B7" w:rsidP="00551431">
            <w:pPr>
              <w:rPr>
                <w:bCs/>
                <w:sz w:val="16"/>
                <w:szCs w:val="16"/>
              </w:rPr>
            </w:pPr>
            <w:r w:rsidRPr="007E68B7">
              <w:rPr>
                <w:bCs/>
                <w:sz w:val="16"/>
                <w:szCs w:val="16"/>
              </w:rPr>
              <w:lastRenderedPageBreak/>
              <w:t xml:space="preserve">DCHA has a Recovery Action Plan </w:t>
            </w:r>
            <w:r w:rsidR="007E68B7">
              <w:rPr>
                <w:bCs/>
                <w:sz w:val="16"/>
                <w:szCs w:val="16"/>
              </w:rPr>
              <w:t>that was fully executed by HUD on 7/22/2021</w:t>
            </w:r>
            <w:r w:rsidR="00CD57CE">
              <w:rPr>
                <w:bCs/>
                <w:sz w:val="16"/>
                <w:szCs w:val="16"/>
              </w:rPr>
              <w:t xml:space="preserve">. This plan was implemented due to the results of </w:t>
            </w:r>
            <w:r w:rsidRPr="007E68B7">
              <w:rPr>
                <w:bCs/>
                <w:sz w:val="16"/>
                <w:szCs w:val="16"/>
              </w:rPr>
              <w:t xml:space="preserve">HUD’s review of DCHA’s 2018 financials </w:t>
            </w:r>
            <w:r w:rsidR="00CD57CE">
              <w:rPr>
                <w:bCs/>
                <w:sz w:val="16"/>
                <w:szCs w:val="16"/>
              </w:rPr>
              <w:t>and public housing performance and condition in the fall of 2019.  As a result of this review, HUD labeled DCHA a Troubled and Insolvent Public Housing Authority and</w:t>
            </w:r>
            <w:r w:rsidR="007E68B7">
              <w:rPr>
                <w:bCs/>
                <w:sz w:val="16"/>
                <w:szCs w:val="16"/>
              </w:rPr>
              <w:t xml:space="preserve"> </w:t>
            </w:r>
            <w:r w:rsidR="004B3912">
              <w:rPr>
                <w:bCs/>
                <w:sz w:val="16"/>
                <w:szCs w:val="16"/>
              </w:rPr>
              <w:t xml:space="preserve">issued a Draft Financial Assessment on 12/20/2019 </w:t>
            </w:r>
            <w:r w:rsidR="00CD57CE">
              <w:rPr>
                <w:bCs/>
                <w:sz w:val="16"/>
                <w:szCs w:val="16"/>
              </w:rPr>
              <w:t>as a precursor to the Recovery Action Plan</w:t>
            </w:r>
            <w:r w:rsidR="004B3912">
              <w:rPr>
                <w:bCs/>
                <w:sz w:val="16"/>
                <w:szCs w:val="16"/>
              </w:rPr>
              <w:t>.</w:t>
            </w:r>
            <w:r w:rsidR="00A82975">
              <w:rPr>
                <w:bCs/>
                <w:sz w:val="16"/>
                <w:szCs w:val="16"/>
              </w:rPr>
              <w:t xml:space="preserve">  The main path forward for DCHA to resolve the Troubled and Insolvent Status issues is to </w:t>
            </w:r>
            <w:r w:rsidR="008C634F">
              <w:rPr>
                <w:bCs/>
                <w:sz w:val="16"/>
                <w:szCs w:val="16"/>
              </w:rPr>
              <w:t>improve the performance of the public housing and strengthen the overall financials of the agency</w:t>
            </w:r>
            <w:r w:rsidR="00A82975">
              <w:rPr>
                <w:bCs/>
                <w:sz w:val="16"/>
                <w:szCs w:val="16"/>
              </w:rPr>
              <w:t xml:space="preserve">.  DCHA still fully intends to move ahead with repositioning, but a full evaluation of the condition of the housing stock is needed to make the best decisions on this process, and that inspection </w:t>
            </w:r>
            <w:r w:rsidR="008C634F">
              <w:rPr>
                <w:bCs/>
                <w:sz w:val="16"/>
                <w:szCs w:val="16"/>
              </w:rPr>
              <w:t>was</w:t>
            </w:r>
            <w:r w:rsidR="00A82975">
              <w:rPr>
                <w:bCs/>
                <w:sz w:val="16"/>
                <w:szCs w:val="16"/>
              </w:rPr>
              <w:t xml:space="preserve"> </w:t>
            </w:r>
            <w:r w:rsidR="00CD57CE">
              <w:rPr>
                <w:bCs/>
                <w:sz w:val="16"/>
                <w:szCs w:val="16"/>
              </w:rPr>
              <w:t xml:space="preserve">delayed </w:t>
            </w:r>
            <w:proofErr w:type="gramStart"/>
            <w:r w:rsidR="00A82975">
              <w:rPr>
                <w:bCs/>
                <w:sz w:val="16"/>
                <w:szCs w:val="16"/>
              </w:rPr>
              <w:t>due to the effects</w:t>
            </w:r>
            <w:proofErr w:type="gramEnd"/>
            <w:r w:rsidR="00A82975">
              <w:rPr>
                <w:bCs/>
                <w:sz w:val="16"/>
                <w:szCs w:val="16"/>
              </w:rPr>
              <w:t xml:space="preserve"> of COVID-19</w:t>
            </w:r>
            <w:r w:rsidR="00CD57CE">
              <w:rPr>
                <w:bCs/>
                <w:sz w:val="16"/>
                <w:szCs w:val="16"/>
              </w:rPr>
              <w:t>.  A capital needs assessment of the units was conducted in July of 202</w:t>
            </w:r>
            <w:r w:rsidR="008C634F">
              <w:rPr>
                <w:bCs/>
                <w:sz w:val="16"/>
                <w:szCs w:val="16"/>
              </w:rPr>
              <w:t xml:space="preserve">1 and DCHA has begun addressing deferred maintenance, which is evidenced by a passing REAC score of </w:t>
            </w:r>
            <w:r w:rsidR="00813F18">
              <w:rPr>
                <w:bCs/>
                <w:sz w:val="16"/>
                <w:szCs w:val="16"/>
              </w:rPr>
              <w:t xml:space="preserve">73 in January 2022. </w:t>
            </w:r>
            <w:r w:rsidR="00CD57CE">
              <w:rPr>
                <w:bCs/>
                <w:sz w:val="16"/>
                <w:szCs w:val="16"/>
              </w:rPr>
              <w:t xml:space="preserve"> In addition, as mentioned previously, some new HUD repositioning options</w:t>
            </w:r>
            <w:r w:rsidR="00C8180B">
              <w:rPr>
                <w:bCs/>
                <w:sz w:val="16"/>
                <w:szCs w:val="16"/>
              </w:rPr>
              <w:t xml:space="preserve"> such as more flexible RAD Blends have been introduced since the approval in April 2020 and DCHA will evaluate the best path forward for the PHA.</w:t>
            </w:r>
            <w:r w:rsidR="00813F18">
              <w:rPr>
                <w:bCs/>
                <w:sz w:val="16"/>
                <w:szCs w:val="16"/>
              </w:rPr>
              <w:t xml:space="preserve">  More work to evaluate how the existing tenant base would be affected by a change from public housing regulations to HCV rules is also needed.  </w:t>
            </w:r>
          </w:p>
          <w:p w14:paraId="1B02AB86" w14:textId="77777777" w:rsidR="00C634B7" w:rsidRDefault="00C634B7" w:rsidP="00551431">
            <w:pPr>
              <w:rPr>
                <w:bCs/>
                <w:sz w:val="16"/>
                <w:szCs w:val="16"/>
              </w:rPr>
            </w:pPr>
          </w:p>
          <w:p w14:paraId="644CAFC7" w14:textId="523A1A0E" w:rsidR="00551431" w:rsidRDefault="00813F18" w:rsidP="00551431">
            <w:pPr>
              <w:rPr>
                <w:bCs/>
                <w:sz w:val="16"/>
                <w:szCs w:val="16"/>
              </w:rPr>
            </w:pPr>
            <w:r>
              <w:rPr>
                <w:bCs/>
                <w:sz w:val="16"/>
                <w:szCs w:val="16"/>
              </w:rPr>
              <w:t xml:space="preserve">As a result of these </w:t>
            </w:r>
            <w:r w:rsidR="00C634B7">
              <w:rPr>
                <w:bCs/>
                <w:sz w:val="16"/>
                <w:szCs w:val="16"/>
              </w:rPr>
              <w:t>issues, DCHA is planning to request that HUD pull its approval of the first phase of the repositioning plan to allow for a more thorough evaluation of options.</w:t>
            </w:r>
          </w:p>
          <w:p w14:paraId="4154210E" w14:textId="77777777" w:rsidR="00B25BE9" w:rsidRDefault="00B25BE9" w:rsidP="00551431">
            <w:pPr>
              <w:rPr>
                <w:bCs/>
                <w:sz w:val="16"/>
                <w:szCs w:val="16"/>
              </w:rPr>
            </w:pPr>
          </w:p>
          <w:p w14:paraId="01BD9335" w14:textId="46871157" w:rsidR="00B25BE9" w:rsidRDefault="00B25BE9" w:rsidP="00551431">
            <w:pPr>
              <w:rPr>
                <w:bCs/>
                <w:sz w:val="16"/>
                <w:szCs w:val="16"/>
              </w:rPr>
            </w:pPr>
            <w:r>
              <w:rPr>
                <w:bCs/>
                <w:sz w:val="16"/>
                <w:szCs w:val="16"/>
              </w:rPr>
              <w:t xml:space="preserve">DCHA did restructure staffing in the HCV program in 2020 </w:t>
            </w:r>
            <w:proofErr w:type="gramStart"/>
            <w:r>
              <w:rPr>
                <w:bCs/>
                <w:sz w:val="16"/>
                <w:szCs w:val="16"/>
              </w:rPr>
              <w:t>as a result of</w:t>
            </w:r>
            <w:proofErr w:type="gramEnd"/>
            <w:r>
              <w:rPr>
                <w:bCs/>
                <w:sz w:val="16"/>
                <w:szCs w:val="16"/>
              </w:rPr>
              <w:t xml:space="preserve"> HUD’s 2019 financial review and has operated that program more efficiently </w:t>
            </w:r>
            <w:r w:rsidR="006F3782">
              <w:rPr>
                <w:bCs/>
                <w:sz w:val="16"/>
                <w:szCs w:val="16"/>
              </w:rPr>
              <w:t>from 2020 through 2022</w:t>
            </w:r>
            <w:r>
              <w:rPr>
                <w:bCs/>
                <w:sz w:val="16"/>
                <w:szCs w:val="16"/>
              </w:rPr>
              <w:t>.</w:t>
            </w:r>
          </w:p>
          <w:p w14:paraId="46B10342" w14:textId="0FD6CDDA" w:rsidR="00C634B7" w:rsidRDefault="00C634B7" w:rsidP="00551431">
            <w:pPr>
              <w:rPr>
                <w:bCs/>
                <w:sz w:val="16"/>
                <w:szCs w:val="16"/>
              </w:rPr>
            </w:pPr>
          </w:p>
          <w:p w14:paraId="3EA3D3A0" w14:textId="77A42428" w:rsidR="00C634B7" w:rsidRDefault="00C634B7" w:rsidP="00551431">
            <w:pPr>
              <w:rPr>
                <w:bCs/>
                <w:sz w:val="16"/>
                <w:szCs w:val="16"/>
              </w:rPr>
            </w:pPr>
            <w:r>
              <w:rPr>
                <w:bCs/>
                <w:sz w:val="16"/>
                <w:szCs w:val="16"/>
              </w:rPr>
              <w:t>DCHA has also used grant funds to fully repay a pension fund liability to the Wisconsin Retirement System in Q2 2022 and has reduced the outstanding balance on its line of credit by over $100,000 in the past two years.</w:t>
            </w:r>
          </w:p>
          <w:p w14:paraId="004EEE68" w14:textId="77777777" w:rsidR="003A57A9" w:rsidRDefault="003A57A9" w:rsidP="00551431">
            <w:pPr>
              <w:rPr>
                <w:bCs/>
                <w:sz w:val="16"/>
                <w:szCs w:val="16"/>
              </w:rPr>
            </w:pPr>
          </w:p>
          <w:p w14:paraId="07BAD233" w14:textId="6B12AD16" w:rsidR="003A57A9" w:rsidRPr="0082286E" w:rsidRDefault="003A57A9" w:rsidP="00551431">
            <w:pPr>
              <w:rPr>
                <w:bCs/>
                <w:sz w:val="16"/>
                <w:szCs w:val="16"/>
              </w:rPr>
            </w:pPr>
            <w:r>
              <w:rPr>
                <w:bCs/>
                <w:sz w:val="16"/>
                <w:szCs w:val="16"/>
              </w:rPr>
              <w:t>Continuing to investigate repositioning opportunities and improving cash flow for the Public Housing properties are also primary components of the Shortfall Improvement Plan</w:t>
            </w:r>
            <w:r w:rsidR="00C634B7">
              <w:rPr>
                <w:bCs/>
                <w:sz w:val="16"/>
                <w:szCs w:val="16"/>
              </w:rPr>
              <w:t>s</w:t>
            </w:r>
            <w:r>
              <w:rPr>
                <w:bCs/>
                <w:sz w:val="16"/>
                <w:szCs w:val="16"/>
              </w:rPr>
              <w:t xml:space="preserve"> </w:t>
            </w:r>
            <w:r w:rsidR="00C634B7">
              <w:rPr>
                <w:bCs/>
                <w:sz w:val="16"/>
                <w:szCs w:val="16"/>
              </w:rPr>
              <w:t>for 2020 and 2021.</w:t>
            </w:r>
          </w:p>
        </w:tc>
      </w:tr>
      <w:tr w:rsidR="00551431" w:rsidRPr="00775B59" w14:paraId="62E0D71E" w14:textId="77777777" w:rsidTr="00FE24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251F9C2E" w14:textId="77777777" w:rsidR="00551431" w:rsidRPr="00F15E31" w:rsidRDefault="00551431" w:rsidP="00551431">
            <w:pPr>
              <w:jc w:val="center"/>
              <w:rPr>
                <w:b/>
                <w:bCs/>
                <w:sz w:val="20"/>
                <w:szCs w:val="20"/>
              </w:rPr>
            </w:pPr>
          </w:p>
          <w:p w14:paraId="48B7642E" w14:textId="77777777" w:rsidR="00551431" w:rsidRPr="00DE62BF" w:rsidRDefault="00551431" w:rsidP="00551431">
            <w:pPr>
              <w:jc w:val="center"/>
              <w:rPr>
                <w:b/>
                <w:bCs/>
                <w:sz w:val="20"/>
                <w:szCs w:val="20"/>
              </w:rPr>
            </w:pPr>
            <w:r>
              <w:rPr>
                <w:b/>
                <w:bCs/>
                <w:sz w:val="20"/>
                <w:szCs w:val="20"/>
              </w:rPr>
              <w:t>C</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3E8B1FE3" w14:textId="77777777" w:rsidR="00551431" w:rsidRDefault="00551431" w:rsidP="00551431">
            <w:pPr>
              <w:rPr>
                <w:rFonts w:cs="Arial"/>
                <w:b/>
                <w:bCs/>
                <w:sz w:val="18"/>
                <w:szCs w:val="18"/>
              </w:rPr>
            </w:pPr>
          </w:p>
          <w:p w14:paraId="7A5325DF" w14:textId="77777777" w:rsidR="00551431" w:rsidRDefault="00175BFA" w:rsidP="00175BFA">
            <w:pPr>
              <w:rPr>
                <w:b/>
                <w:bCs/>
                <w:sz w:val="16"/>
                <w:szCs w:val="16"/>
              </w:rPr>
            </w:pPr>
            <w:r>
              <w:rPr>
                <w:rFonts w:cs="Arial"/>
                <w:b/>
                <w:bCs/>
                <w:sz w:val="20"/>
                <w:szCs w:val="20"/>
              </w:rPr>
              <w:t xml:space="preserve">Statement of </w:t>
            </w:r>
            <w:r w:rsidR="00551431">
              <w:rPr>
                <w:rFonts w:cs="Arial"/>
                <w:b/>
                <w:bCs/>
                <w:sz w:val="20"/>
                <w:szCs w:val="20"/>
              </w:rPr>
              <w:t>Capital Improvements</w:t>
            </w:r>
            <w:r w:rsidR="00551431" w:rsidRPr="00DE62BF">
              <w:rPr>
                <w:rFonts w:cs="Arial"/>
                <w:bCs/>
                <w:sz w:val="20"/>
                <w:szCs w:val="20"/>
              </w:rPr>
              <w:t xml:space="preserve">.  </w:t>
            </w:r>
            <w:r w:rsidR="00551431" w:rsidRPr="0047344A">
              <w:rPr>
                <w:rFonts w:cs="Arial"/>
                <w:bCs/>
                <w:sz w:val="20"/>
                <w:szCs w:val="20"/>
              </w:rPr>
              <w:t>Required for all PHAs completing this form that administer public housing and receive funding from the Capital Fund Program (CFP).</w:t>
            </w:r>
            <w:r w:rsidR="00551431">
              <w:rPr>
                <w:rFonts w:cs="Arial"/>
                <w:bCs/>
                <w:sz w:val="18"/>
                <w:szCs w:val="18"/>
              </w:rPr>
              <w:t xml:space="preserve"> </w:t>
            </w:r>
          </w:p>
        </w:tc>
      </w:tr>
      <w:tr w:rsidR="00551431" w:rsidRPr="00775B59" w14:paraId="5A2B7205" w14:textId="77777777" w:rsidTr="00FE24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6A98485" w14:textId="77777777" w:rsidR="00551431" w:rsidRPr="00F15E31" w:rsidRDefault="00551431" w:rsidP="00551431">
            <w:pPr>
              <w:jc w:val="center"/>
              <w:rPr>
                <w:b/>
                <w:bCs/>
                <w:sz w:val="16"/>
                <w:szCs w:val="16"/>
              </w:rPr>
            </w:pPr>
          </w:p>
          <w:p w14:paraId="104DCE5E" w14:textId="77777777" w:rsidR="00551431" w:rsidRPr="00F15E31" w:rsidRDefault="00551431" w:rsidP="00551431">
            <w:pPr>
              <w:jc w:val="center"/>
              <w:rPr>
                <w:b/>
                <w:bCs/>
                <w:sz w:val="20"/>
                <w:szCs w:val="20"/>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7EBA15" w14:textId="2C4FEED1" w:rsidR="00534EE0" w:rsidRPr="00F024CB" w:rsidRDefault="00534EE0" w:rsidP="00534EE0">
            <w:pPr>
              <w:tabs>
                <w:tab w:val="left" w:pos="2286"/>
              </w:tabs>
              <w:rPr>
                <w:bCs/>
                <w:sz w:val="16"/>
                <w:szCs w:val="16"/>
              </w:rPr>
            </w:pPr>
            <w:r w:rsidRPr="006F3782">
              <w:rPr>
                <w:bCs/>
                <w:sz w:val="16"/>
                <w:szCs w:val="16"/>
              </w:rPr>
              <w:t xml:space="preserve">See HUD Form- 50075.2 approved by HUD on </w:t>
            </w:r>
            <w:r w:rsidR="008C7FAF" w:rsidRPr="006F3782">
              <w:rPr>
                <w:bCs/>
                <w:sz w:val="16"/>
                <w:szCs w:val="16"/>
              </w:rPr>
              <w:t>8/24/2020.</w:t>
            </w:r>
          </w:p>
          <w:p w14:paraId="49B5A327" w14:textId="76063E8F" w:rsidR="00534EE0" w:rsidRPr="00F024CB" w:rsidRDefault="00534EE0" w:rsidP="00534EE0">
            <w:pPr>
              <w:tabs>
                <w:tab w:val="left" w:pos="2286"/>
              </w:tabs>
              <w:rPr>
                <w:bCs/>
                <w:sz w:val="16"/>
                <w:szCs w:val="16"/>
              </w:rPr>
            </w:pPr>
            <w:r w:rsidRPr="00F024CB">
              <w:rPr>
                <w:bCs/>
                <w:sz w:val="16"/>
                <w:szCs w:val="16"/>
              </w:rPr>
              <w:t xml:space="preserve">                 </w:t>
            </w:r>
          </w:p>
          <w:p w14:paraId="791949A7" w14:textId="77777777" w:rsidR="00551431" w:rsidRPr="00F15E31" w:rsidRDefault="00551431" w:rsidP="00551431">
            <w:pPr>
              <w:rPr>
                <w:rFonts w:cs="Arial"/>
                <w:b/>
                <w:bCs/>
                <w:sz w:val="16"/>
                <w:szCs w:val="16"/>
              </w:rPr>
            </w:pPr>
          </w:p>
        </w:tc>
      </w:tr>
    </w:tbl>
    <w:p w14:paraId="4FC20873" w14:textId="77777777" w:rsidR="009A7457" w:rsidRDefault="009A7457" w:rsidP="00F8151D">
      <w:pPr>
        <w:pStyle w:val="Footer"/>
        <w:ind w:right="540"/>
        <w:rPr>
          <w:sz w:val="16"/>
          <w:szCs w:val="16"/>
        </w:rPr>
      </w:pPr>
    </w:p>
    <w:p w14:paraId="61CB0D6D" w14:textId="77777777" w:rsidR="000238EE" w:rsidRDefault="000238EE" w:rsidP="00F8151D">
      <w:pPr>
        <w:pStyle w:val="Footer"/>
        <w:ind w:right="540"/>
        <w:rPr>
          <w:sz w:val="16"/>
          <w:szCs w:val="16"/>
        </w:rPr>
      </w:pPr>
    </w:p>
    <w:p w14:paraId="45CEECC8" w14:textId="77777777" w:rsidR="00162246" w:rsidRDefault="00162246" w:rsidP="005E7197">
      <w:pPr>
        <w:rPr>
          <w:rFonts w:eastAsia="Calibri"/>
          <w:b/>
          <w:bCs/>
          <w:sz w:val="28"/>
          <w:szCs w:val="28"/>
        </w:rPr>
      </w:pPr>
    </w:p>
    <w:p w14:paraId="2E5E9ADC" w14:textId="77777777" w:rsidR="004B1773" w:rsidRDefault="004B1773" w:rsidP="005E7197">
      <w:pPr>
        <w:rPr>
          <w:rFonts w:eastAsia="Calibri"/>
          <w:b/>
          <w:bCs/>
          <w:sz w:val="28"/>
          <w:szCs w:val="28"/>
        </w:rPr>
      </w:pPr>
    </w:p>
    <w:p w14:paraId="7E67BA77" w14:textId="77777777" w:rsidR="00D921A2" w:rsidRDefault="00D921A2" w:rsidP="005E7197">
      <w:pPr>
        <w:rPr>
          <w:rFonts w:eastAsia="Calibri"/>
          <w:b/>
          <w:bCs/>
          <w:sz w:val="28"/>
          <w:szCs w:val="28"/>
        </w:rPr>
      </w:pPr>
    </w:p>
    <w:p w14:paraId="773533B6" w14:textId="77777777" w:rsidR="00175BFA" w:rsidRDefault="00175BFA" w:rsidP="005E7197">
      <w:pPr>
        <w:rPr>
          <w:rFonts w:eastAsia="Calibri"/>
          <w:b/>
          <w:bCs/>
          <w:sz w:val="28"/>
          <w:szCs w:val="28"/>
        </w:rPr>
      </w:pPr>
    </w:p>
    <w:sectPr w:rsidR="00175BFA" w:rsidSect="00E647B3">
      <w:headerReference w:type="even" r:id="rId14"/>
      <w:headerReference w:type="default" r:id="rId15"/>
      <w:headerReference w:type="first" r:id="rId16"/>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39E6" w14:textId="77777777" w:rsidR="00745933" w:rsidRDefault="00745933" w:rsidP="000238EE">
      <w:r>
        <w:separator/>
      </w:r>
    </w:p>
  </w:endnote>
  <w:endnote w:type="continuationSeparator" w:id="0">
    <w:p w14:paraId="6BB488E6" w14:textId="77777777" w:rsidR="00745933" w:rsidRDefault="00745933"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DF1E" w14:textId="77777777" w:rsidR="005C33C9" w:rsidRDefault="005C3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E657FD" w14:textId="77777777" w:rsidR="005C33C9" w:rsidRDefault="005C3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6EBD" w14:textId="77777777" w:rsidR="005C33C9" w:rsidRDefault="005C33C9">
    <w:pPr>
      <w:pStyle w:val="Footer"/>
      <w:jc w:val="center"/>
      <w:rPr>
        <w:sz w:val="16"/>
        <w:szCs w:val="16"/>
      </w:rPr>
    </w:pPr>
  </w:p>
  <w:p w14:paraId="10380428" w14:textId="77777777" w:rsidR="005C33C9" w:rsidRDefault="005C33C9" w:rsidP="00BD6EA4">
    <w:pPr>
      <w:pStyle w:val="Footer"/>
      <w:pBdr>
        <w:top w:val="single" w:sz="4" w:space="1" w:color="auto"/>
      </w:pBdr>
      <w:jc w:val="center"/>
      <w:rPr>
        <w:sz w:val="16"/>
        <w:szCs w:val="16"/>
      </w:rPr>
    </w:pPr>
  </w:p>
  <w:p w14:paraId="50042E8C" w14:textId="77777777" w:rsidR="005C33C9" w:rsidRPr="00BD6EA4" w:rsidRDefault="005C33C9"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2</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6</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(12/2014)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2ADC" w14:textId="77777777" w:rsidR="005C33C9" w:rsidRDefault="005C33C9" w:rsidP="00E101DA">
    <w:pPr>
      <w:pStyle w:val="Footer"/>
      <w:tabs>
        <w:tab w:val="clear" w:pos="8640"/>
      </w:tabs>
      <w:ind w:right="126"/>
      <w:rPr>
        <w:sz w:val="16"/>
      </w:rPr>
    </w:pPr>
  </w:p>
  <w:p w14:paraId="607424EB" w14:textId="77777777" w:rsidR="005C33C9" w:rsidRPr="00BD6EA4" w:rsidRDefault="005C33C9"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14:paraId="62B933E5" w14:textId="77777777" w:rsidR="005C33C9" w:rsidRDefault="005C33C9" w:rsidP="0010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49CD" w14:textId="77777777" w:rsidR="00745933" w:rsidRDefault="00745933" w:rsidP="000238EE">
      <w:r>
        <w:separator/>
      </w:r>
    </w:p>
  </w:footnote>
  <w:footnote w:type="continuationSeparator" w:id="0">
    <w:p w14:paraId="6FC1CC64" w14:textId="77777777" w:rsidR="00745933" w:rsidRDefault="00745933" w:rsidP="000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D8E0" w14:textId="77777777" w:rsidR="005C33C9" w:rsidRDefault="005C33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C70CCD" w14:textId="77777777" w:rsidR="005C33C9" w:rsidRDefault="005C3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5C33C9" w14:paraId="0EC8B0A4"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9FF05FB" w14:textId="77777777" w:rsidR="005C33C9" w:rsidRDefault="005C33C9" w:rsidP="00277C0E">
          <w:pPr>
            <w:pStyle w:val="Footer"/>
            <w:rPr>
              <w:b/>
              <w:sz w:val="32"/>
              <w:szCs w:val="32"/>
            </w:rPr>
          </w:pPr>
          <w:r>
            <w:rPr>
              <w:b/>
              <w:sz w:val="32"/>
              <w:szCs w:val="32"/>
            </w:rPr>
            <w:t>Annual PHA Plan</w:t>
          </w:r>
        </w:p>
        <w:p w14:paraId="079540C2" w14:textId="77777777" w:rsidR="005C33C9" w:rsidRPr="009D3311" w:rsidRDefault="005C33C9"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14:paraId="03E20C66" w14:textId="77777777" w:rsidR="005C33C9" w:rsidRPr="00611E36" w:rsidRDefault="005C33C9"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12026832" w14:textId="77777777" w:rsidR="005C33C9" w:rsidRDefault="005C33C9"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163F00E" w14:textId="77777777" w:rsidR="005C33C9" w:rsidRPr="00611E36" w:rsidRDefault="005C33C9" w:rsidP="00601D47">
          <w:pPr>
            <w:pStyle w:val="Footer"/>
            <w:ind w:right="-324"/>
            <w:rPr>
              <w:b/>
              <w:bCs/>
              <w:sz w:val="20"/>
              <w:szCs w:val="20"/>
            </w:rPr>
          </w:pPr>
          <w:r w:rsidRPr="00611E36">
            <w:rPr>
              <w:b/>
              <w:bCs/>
              <w:sz w:val="20"/>
              <w:szCs w:val="20"/>
            </w:rPr>
            <w:t xml:space="preserve">OMB No. </w:t>
          </w:r>
          <w:r>
            <w:rPr>
              <w:b/>
              <w:bCs/>
              <w:sz w:val="20"/>
              <w:szCs w:val="20"/>
            </w:rPr>
            <w:t>2577-0226</w:t>
          </w:r>
        </w:p>
        <w:p w14:paraId="71FCEACD" w14:textId="77777777" w:rsidR="005C33C9" w:rsidRPr="005D1505" w:rsidRDefault="005C33C9"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442D2D77" w14:textId="77777777" w:rsidR="005C33C9" w:rsidRDefault="005C3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B4D8" w14:textId="77777777" w:rsidR="005C33C9" w:rsidRDefault="005C33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2DFB" w14:textId="77777777" w:rsidR="005C33C9" w:rsidRDefault="005C33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F8FE" w14:textId="77777777" w:rsidR="005C33C9" w:rsidRDefault="005C3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3A70"/>
    <w:multiLevelType w:val="hybridMultilevel"/>
    <w:tmpl w:val="027E0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3FCA"/>
    <w:multiLevelType w:val="hybridMultilevel"/>
    <w:tmpl w:val="27F6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426AD"/>
    <w:multiLevelType w:val="hybridMultilevel"/>
    <w:tmpl w:val="EEB8B72C"/>
    <w:lvl w:ilvl="0" w:tplc="AB764B88">
      <w:numFmt w:val="bullet"/>
      <w:lvlText w:val="•"/>
      <w:lvlJc w:val="left"/>
      <w:pPr>
        <w:ind w:left="124" w:hanging="64"/>
      </w:pPr>
      <w:rPr>
        <w:rFonts w:ascii="Times New Roman" w:eastAsia="Times New Roman" w:hAnsi="Times New Roman" w:cs="Times New Roman" w:hint="default"/>
        <w:color w:val="232323"/>
        <w:spacing w:val="7"/>
        <w:w w:val="107"/>
        <w:sz w:val="13"/>
        <w:szCs w:val="13"/>
      </w:rPr>
    </w:lvl>
    <w:lvl w:ilvl="1" w:tplc="37EE22D8">
      <w:numFmt w:val="bullet"/>
      <w:lvlText w:val="•"/>
      <w:lvlJc w:val="left"/>
      <w:pPr>
        <w:ind w:left="1075" w:hanging="64"/>
      </w:pPr>
      <w:rPr>
        <w:rFonts w:hint="default"/>
      </w:rPr>
    </w:lvl>
    <w:lvl w:ilvl="2" w:tplc="1C6CDC22">
      <w:numFmt w:val="bullet"/>
      <w:lvlText w:val="•"/>
      <w:lvlJc w:val="left"/>
      <w:pPr>
        <w:ind w:left="2031" w:hanging="64"/>
      </w:pPr>
      <w:rPr>
        <w:rFonts w:hint="default"/>
      </w:rPr>
    </w:lvl>
    <w:lvl w:ilvl="3" w:tplc="B268DE3A">
      <w:numFmt w:val="bullet"/>
      <w:lvlText w:val="•"/>
      <w:lvlJc w:val="left"/>
      <w:pPr>
        <w:ind w:left="2987" w:hanging="64"/>
      </w:pPr>
      <w:rPr>
        <w:rFonts w:hint="default"/>
      </w:rPr>
    </w:lvl>
    <w:lvl w:ilvl="4" w:tplc="06AC3CB4">
      <w:numFmt w:val="bullet"/>
      <w:lvlText w:val="•"/>
      <w:lvlJc w:val="left"/>
      <w:pPr>
        <w:ind w:left="3942" w:hanging="64"/>
      </w:pPr>
      <w:rPr>
        <w:rFonts w:hint="default"/>
      </w:rPr>
    </w:lvl>
    <w:lvl w:ilvl="5" w:tplc="409E6E46">
      <w:numFmt w:val="bullet"/>
      <w:lvlText w:val="•"/>
      <w:lvlJc w:val="left"/>
      <w:pPr>
        <w:ind w:left="4898" w:hanging="64"/>
      </w:pPr>
      <w:rPr>
        <w:rFonts w:hint="default"/>
      </w:rPr>
    </w:lvl>
    <w:lvl w:ilvl="6" w:tplc="CBFC325C">
      <w:numFmt w:val="bullet"/>
      <w:lvlText w:val="•"/>
      <w:lvlJc w:val="left"/>
      <w:pPr>
        <w:ind w:left="5854" w:hanging="64"/>
      </w:pPr>
      <w:rPr>
        <w:rFonts w:hint="default"/>
      </w:rPr>
    </w:lvl>
    <w:lvl w:ilvl="7" w:tplc="7EB6AECC">
      <w:numFmt w:val="bullet"/>
      <w:lvlText w:val="•"/>
      <w:lvlJc w:val="left"/>
      <w:pPr>
        <w:ind w:left="6809" w:hanging="64"/>
      </w:pPr>
      <w:rPr>
        <w:rFonts w:hint="default"/>
      </w:rPr>
    </w:lvl>
    <w:lvl w:ilvl="8" w:tplc="7488FA46">
      <w:numFmt w:val="bullet"/>
      <w:lvlText w:val="•"/>
      <w:lvlJc w:val="left"/>
      <w:pPr>
        <w:ind w:left="7765" w:hanging="64"/>
      </w:pPr>
      <w:rPr>
        <w:rFonts w:hint="default"/>
      </w:rPr>
    </w:lvl>
  </w:abstractNum>
  <w:abstractNum w:abstractNumId="7"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96DF0"/>
    <w:multiLevelType w:val="hybridMultilevel"/>
    <w:tmpl w:val="B7000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2"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54E3C"/>
    <w:multiLevelType w:val="hybridMultilevel"/>
    <w:tmpl w:val="36FE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5" w15:restartNumberingAfterBreak="0">
    <w:nsid w:val="5DFB27EF"/>
    <w:multiLevelType w:val="hybridMultilevel"/>
    <w:tmpl w:val="86CE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177126"/>
    <w:multiLevelType w:val="hybridMultilevel"/>
    <w:tmpl w:val="119A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0"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1"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322231">
    <w:abstractNumId w:val="29"/>
  </w:num>
  <w:num w:numId="2" w16cid:durableId="1464688696">
    <w:abstractNumId w:val="26"/>
  </w:num>
  <w:num w:numId="3" w16cid:durableId="663094396">
    <w:abstractNumId w:val="32"/>
  </w:num>
  <w:num w:numId="4" w16cid:durableId="1345287070">
    <w:abstractNumId w:val="18"/>
  </w:num>
  <w:num w:numId="5" w16cid:durableId="1832524481">
    <w:abstractNumId w:val="30"/>
  </w:num>
  <w:num w:numId="6" w16cid:durableId="1384210374">
    <w:abstractNumId w:val="24"/>
  </w:num>
  <w:num w:numId="7" w16cid:durableId="1437673741">
    <w:abstractNumId w:val="3"/>
  </w:num>
  <w:num w:numId="8" w16cid:durableId="1857697621">
    <w:abstractNumId w:val="11"/>
  </w:num>
  <w:num w:numId="9" w16cid:durableId="1793523918">
    <w:abstractNumId w:val="17"/>
  </w:num>
  <w:num w:numId="10" w16cid:durableId="204224544">
    <w:abstractNumId w:val="15"/>
  </w:num>
  <w:num w:numId="11" w16cid:durableId="620772191">
    <w:abstractNumId w:val="13"/>
  </w:num>
  <w:num w:numId="12" w16cid:durableId="1478760640">
    <w:abstractNumId w:val="12"/>
  </w:num>
  <w:num w:numId="13" w16cid:durableId="2116516377">
    <w:abstractNumId w:val="16"/>
  </w:num>
  <w:num w:numId="14" w16cid:durableId="391387601">
    <w:abstractNumId w:val="10"/>
  </w:num>
  <w:num w:numId="15" w16cid:durableId="1548637976">
    <w:abstractNumId w:val="19"/>
  </w:num>
  <w:num w:numId="16" w16cid:durableId="1195727322">
    <w:abstractNumId w:val="22"/>
  </w:num>
  <w:num w:numId="17" w16cid:durableId="872576780">
    <w:abstractNumId w:val="5"/>
  </w:num>
  <w:num w:numId="18" w16cid:durableId="1920752730">
    <w:abstractNumId w:val="23"/>
  </w:num>
  <w:num w:numId="19" w16cid:durableId="588581267">
    <w:abstractNumId w:val="7"/>
  </w:num>
  <w:num w:numId="20" w16cid:durableId="1314918731">
    <w:abstractNumId w:val="28"/>
  </w:num>
  <w:num w:numId="21" w16cid:durableId="150143798">
    <w:abstractNumId w:val="20"/>
  </w:num>
  <w:num w:numId="22" w16cid:durableId="451092483">
    <w:abstractNumId w:val="0"/>
  </w:num>
  <w:num w:numId="23" w16cid:durableId="1467089135">
    <w:abstractNumId w:val="31"/>
  </w:num>
  <w:num w:numId="24" w16cid:durableId="1695502226">
    <w:abstractNumId w:val="14"/>
  </w:num>
  <w:num w:numId="25" w16cid:durableId="1572038274">
    <w:abstractNumId w:val="2"/>
  </w:num>
  <w:num w:numId="26" w16cid:durableId="2045322025">
    <w:abstractNumId w:val="35"/>
  </w:num>
  <w:num w:numId="27" w16cid:durableId="1991053379">
    <w:abstractNumId w:val="9"/>
  </w:num>
  <w:num w:numId="28" w16cid:durableId="11708018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3440393">
    <w:abstractNumId w:val="34"/>
  </w:num>
  <w:num w:numId="30" w16cid:durableId="1612124517">
    <w:abstractNumId w:val="33"/>
  </w:num>
  <w:num w:numId="31" w16cid:durableId="10593290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5796326">
    <w:abstractNumId w:val="27"/>
  </w:num>
  <w:num w:numId="33" w16cid:durableId="938634434">
    <w:abstractNumId w:val="4"/>
  </w:num>
  <w:num w:numId="34" w16cid:durableId="699629283">
    <w:abstractNumId w:val="6"/>
  </w:num>
  <w:num w:numId="35" w16cid:durableId="154498504">
    <w:abstractNumId w:val="25"/>
  </w:num>
  <w:num w:numId="36" w16cid:durableId="1997611032">
    <w:abstractNumId w:val="21"/>
  </w:num>
  <w:num w:numId="37" w16cid:durableId="1872648453">
    <w:abstractNumId w:val="8"/>
  </w:num>
  <w:num w:numId="38" w16cid:durableId="198444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B5"/>
    <w:rsid w:val="0000139B"/>
    <w:rsid w:val="000043BE"/>
    <w:rsid w:val="00011259"/>
    <w:rsid w:val="00013B32"/>
    <w:rsid w:val="00022E12"/>
    <w:rsid w:val="000238EE"/>
    <w:rsid w:val="00025807"/>
    <w:rsid w:val="000315C7"/>
    <w:rsid w:val="000339AB"/>
    <w:rsid w:val="0003413F"/>
    <w:rsid w:val="00035B4E"/>
    <w:rsid w:val="00036CA6"/>
    <w:rsid w:val="00041370"/>
    <w:rsid w:val="00044431"/>
    <w:rsid w:val="0005104D"/>
    <w:rsid w:val="00054C66"/>
    <w:rsid w:val="00056965"/>
    <w:rsid w:val="00060DB9"/>
    <w:rsid w:val="00070754"/>
    <w:rsid w:val="0007149A"/>
    <w:rsid w:val="00074FEF"/>
    <w:rsid w:val="0008058D"/>
    <w:rsid w:val="00084E88"/>
    <w:rsid w:val="00085E38"/>
    <w:rsid w:val="000A3144"/>
    <w:rsid w:val="000B2633"/>
    <w:rsid w:val="000C37A9"/>
    <w:rsid w:val="000C55E8"/>
    <w:rsid w:val="000D132F"/>
    <w:rsid w:val="000D4F4A"/>
    <w:rsid w:val="000D6380"/>
    <w:rsid w:val="000E2D90"/>
    <w:rsid w:val="000E323A"/>
    <w:rsid w:val="000E3FCB"/>
    <w:rsid w:val="000E4D02"/>
    <w:rsid w:val="000E6B54"/>
    <w:rsid w:val="000F1838"/>
    <w:rsid w:val="000F2E09"/>
    <w:rsid w:val="0010152F"/>
    <w:rsid w:val="00101FBD"/>
    <w:rsid w:val="00102357"/>
    <w:rsid w:val="00102A2D"/>
    <w:rsid w:val="001144BE"/>
    <w:rsid w:val="0011669F"/>
    <w:rsid w:val="00120DDF"/>
    <w:rsid w:val="00121C3E"/>
    <w:rsid w:val="00122251"/>
    <w:rsid w:val="0012365A"/>
    <w:rsid w:val="00123A34"/>
    <w:rsid w:val="001259A9"/>
    <w:rsid w:val="001268A9"/>
    <w:rsid w:val="00132553"/>
    <w:rsid w:val="00132CE4"/>
    <w:rsid w:val="00134B49"/>
    <w:rsid w:val="00137186"/>
    <w:rsid w:val="0015030A"/>
    <w:rsid w:val="00161197"/>
    <w:rsid w:val="00161C65"/>
    <w:rsid w:val="00162246"/>
    <w:rsid w:val="00171EE5"/>
    <w:rsid w:val="001729E9"/>
    <w:rsid w:val="00175BFA"/>
    <w:rsid w:val="00182549"/>
    <w:rsid w:val="001827D3"/>
    <w:rsid w:val="0018402E"/>
    <w:rsid w:val="0018658D"/>
    <w:rsid w:val="001866D0"/>
    <w:rsid w:val="001878FE"/>
    <w:rsid w:val="001A3686"/>
    <w:rsid w:val="001A3BD5"/>
    <w:rsid w:val="001B428E"/>
    <w:rsid w:val="001B50B2"/>
    <w:rsid w:val="001B61BA"/>
    <w:rsid w:val="001C4E8A"/>
    <w:rsid w:val="001C5EE4"/>
    <w:rsid w:val="001C7B17"/>
    <w:rsid w:val="001D564E"/>
    <w:rsid w:val="001E4560"/>
    <w:rsid w:val="001E5622"/>
    <w:rsid w:val="001F00D4"/>
    <w:rsid w:val="001F02E5"/>
    <w:rsid w:val="001F048A"/>
    <w:rsid w:val="001F20FD"/>
    <w:rsid w:val="001F25F8"/>
    <w:rsid w:val="001F7664"/>
    <w:rsid w:val="0020318B"/>
    <w:rsid w:val="002032D9"/>
    <w:rsid w:val="00221D13"/>
    <w:rsid w:val="00222212"/>
    <w:rsid w:val="00222289"/>
    <w:rsid w:val="00226BBF"/>
    <w:rsid w:val="002312BD"/>
    <w:rsid w:val="00232AE0"/>
    <w:rsid w:val="00234661"/>
    <w:rsid w:val="0024362A"/>
    <w:rsid w:val="00250978"/>
    <w:rsid w:val="002518C0"/>
    <w:rsid w:val="00257D92"/>
    <w:rsid w:val="00263FB2"/>
    <w:rsid w:val="002645F8"/>
    <w:rsid w:val="002676E1"/>
    <w:rsid w:val="002707AA"/>
    <w:rsid w:val="00273E0A"/>
    <w:rsid w:val="00274C3D"/>
    <w:rsid w:val="0027794E"/>
    <w:rsid w:val="00277C0E"/>
    <w:rsid w:val="002821FF"/>
    <w:rsid w:val="00287354"/>
    <w:rsid w:val="0029035B"/>
    <w:rsid w:val="00293F5A"/>
    <w:rsid w:val="002952E9"/>
    <w:rsid w:val="002952F0"/>
    <w:rsid w:val="00297023"/>
    <w:rsid w:val="002A030A"/>
    <w:rsid w:val="002A4A7F"/>
    <w:rsid w:val="002B12E3"/>
    <w:rsid w:val="002B37CC"/>
    <w:rsid w:val="002B3D33"/>
    <w:rsid w:val="002B461C"/>
    <w:rsid w:val="002B5348"/>
    <w:rsid w:val="002C0814"/>
    <w:rsid w:val="002C7612"/>
    <w:rsid w:val="002E004B"/>
    <w:rsid w:val="002E4C2A"/>
    <w:rsid w:val="00304E39"/>
    <w:rsid w:val="00306A96"/>
    <w:rsid w:val="00315AD6"/>
    <w:rsid w:val="003209D8"/>
    <w:rsid w:val="00341FBA"/>
    <w:rsid w:val="00360CD6"/>
    <w:rsid w:val="0036791B"/>
    <w:rsid w:val="00371A5E"/>
    <w:rsid w:val="00373769"/>
    <w:rsid w:val="003837BD"/>
    <w:rsid w:val="00383962"/>
    <w:rsid w:val="003867E2"/>
    <w:rsid w:val="00386A42"/>
    <w:rsid w:val="00397EE2"/>
    <w:rsid w:val="003A0EF0"/>
    <w:rsid w:val="003A27EA"/>
    <w:rsid w:val="003A398A"/>
    <w:rsid w:val="003A57A9"/>
    <w:rsid w:val="003A7F6D"/>
    <w:rsid w:val="003B511B"/>
    <w:rsid w:val="003B678C"/>
    <w:rsid w:val="003C1160"/>
    <w:rsid w:val="003C366B"/>
    <w:rsid w:val="003C5445"/>
    <w:rsid w:val="003D0567"/>
    <w:rsid w:val="003D16EA"/>
    <w:rsid w:val="003E2D0D"/>
    <w:rsid w:val="003F0D2B"/>
    <w:rsid w:val="004014F3"/>
    <w:rsid w:val="004022AC"/>
    <w:rsid w:val="00414197"/>
    <w:rsid w:val="00415AB6"/>
    <w:rsid w:val="00417504"/>
    <w:rsid w:val="00424785"/>
    <w:rsid w:val="00430190"/>
    <w:rsid w:val="00433357"/>
    <w:rsid w:val="0043459B"/>
    <w:rsid w:val="00434FE2"/>
    <w:rsid w:val="004468BA"/>
    <w:rsid w:val="004517C0"/>
    <w:rsid w:val="00452675"/>
    <w:rsid w:val="00453283"/>
    <w:rsid w:val="0045764C"/>
    <w:rsid w:val="00460FDA"/>
    <w:rsid w:val="00465093"/>
    <w:rsid w:val="0047344A"/>
    <w:rsid w:val="00477BCF"/>
    <w:rsid w:val="004830DA"/>
    <w:rsid w:val="00491EF5"/>
    <w:rsid w:val="004932A1"/>
    <w:rsid w:val="00496E30"/>
    <w:rsid w:val="004A0C53"/>
    <w:rsid w:val="004A52B1"/>
    <w:rsid w:val="004B1773"/>
    <w:rsid w:val="004B2B5F"/>
    <w:rsid w:val="004B3912"/>
    <w:rsid w:val="004B4483"/>
    <w:rsid w:val="004B71AB"/>
    <w:rsid w:val="004C17D7"/>
    <w:rsid w:val="004D165B"/>
    <w:rsid w:val="004E0D20"/>
    <w:rsid w:val="004E5848"/>
    <w:rsid w:val="00501A0E"/>
    <w:rsid w:val="00504A5D"/>
    <w:rsid w:val="00512287"/>
    <w:rsid w:val="00520CE0"/>
    <w:rsid w:val="00521979"/>
    <w:rsid w:val="00523553"/>
    <w:rsid w:val="00524E62"/>
    <w:rsid w:val="00534EE0"/>
    <w:rsid w:val="00535265"/>
    <w:rsid w:val="00537DFC"/>
    <w:rsid w:val="00540A87"/>
    <w:rsid w:val="00541640"/>
    <w:rsid w:val="00542586"/>
    <w:rsid w:val="00543BA4"/>
    <w:rsid w:val="005446C7"/>
    <w:rsid w:val="00551431"/>
    <w:rsid w:val="005634D3"/>
    <w:rsid w:val="0056445E"/>
    <w:rsid w:val="005705B8"/>
    <w:rsid w:val="005711A7"/>
    <w:rsid w:val="00580229"/>
    <w:rsid w:val="005836CF"/>
    <w:rsid w:val="00583809"/>
    <w:rsid w:val="00586F38"/>
    <w:rsid w:val="005A4A56"/>
    <w:rsid w:val="005A6457"/>
    <w:rsid w:val="005B0BE1"/>
    <w:rsid w:val="005B43EA"/>
    <w:rsid w:val="005B6F70"/>
    <w:rsid w:val="005C33C9"/>
    <w:rsid w:val="005C6C06"/>
    <w:rsid w:val="005C6DDC"/>
    <w:rsid w:val="005D413D"/>
    <w:rsid w:val="005E5E5B"/>
    <w:rsid w:val="005E7197"/>
    <w:rsid w:val="005F3265"/>
    <w:rsid w:val="00601D47"/>
    <w:rsid w:val="00602C0C"/>
    <w:rsid w:val="006043F1"/>
    <w:rsid w:val="00605F84"/>
    <w:rsid w:val="00606B0E"/>
    <w:rsid w:val="0061033E"/>
    <w:rsid w:val="00611E36"/>
    <w:rsid w:val="00613741"/>
    <w:rsid w:val="0062244D"/>
    <w:rsid w:val="00623B2F"/>
    <w:rsid w:val="00646302"/>
    <w:rsid w:val="006521E5"/>
    <w:rsid w:val="00653A2A"/>
    <w:rsid w:val="00653C91"/>
    <w:rsid w:val="00653E1B"/>
    <w:rsid w:val="00660B8D"/>
    <w:rsid w:val="00662A8C"/>
    <w:rsid w:val="00665AA2"/>
    <w:rsid w:val="006669E3"/>
    <w:rsid w:val="006673BC"/>
    <w:rsid w:val="006828C6"/>
    <w:rsid w:val="00684A43"/>
    <w:rsid w:val="0069133E"/>
    <w:rsid w:val="00691797"/>
    <w:rsid w:val="00696BD0"/>
    <w:rsid w:val="006A0252"/>
    <w:rsid w:val="006A1D0D"/>
    <w:rsid w:val="006A3FAE"/>
    <w:rsid w:val="006A3FC7"/>
    <w:rsid w:val="006B143A"/>
    <w:rsid w:val="006B4106"/>
    <w:rsid w:val="006B4973"/>
    <w:rsid w:val="006B6495"/>
    <w:rsid w:val="006C3269"/>
    <w:rsid w:val="006C4DCD"/>
    <w:rsid w:val="006C5737"/>
    <w:rsid w:val="006C60B5"/>
    <w:rsid w:val="006D2D7D"/>
    <w:rsid w:val="006D31E8"/>
    <w:rsid w:val="006D7BE7"/>
    <w:rsid w:val="006F2F1B"/>
    <w:rsid w:val="006F3623"/>
    <w:rsid w:val="006F3782"/>
    <w:rsid w:val="006F70FA"/>
    <w:rsid w:val="0070030D"/>
    <w:rsid w:val="00700DAA"/>
    <w:rsid w:val="00703B41"/>
    <w:rsid w:val="00706F9B"/>
    <w:rsid w:val="00710C88"/>
    <w:rsid w:val="00711F64"/>
    <w:rsid w:val="00716378"/>
    <w:rsid w:val="00720C10"/>
    <w:rsid w:val="00723D76"/>
    <w:rsid w:val="007276EB"/>
    <w:rsid w:val="00736273"/>
    <w:rsid w:val="00743503"/>
    <w:rsid w:val="00745933"/>
    <w:rsid w:val="00745943"/>
    <w:rsid w:val="00760F8E"/>
    <w:rsid w:val="007631EB"/>
    <w:rsid w:val="007721A7"/>
    <w:rsid w:val="0077373A"/>
    <w:rsid w:val="00776E8F"/>
    <w:rsid w:val="00785775"/>
    <w:rsid w:val="0079288F"/>
    <w:rsid w:val="00792D3B"/>
    <w:rsid w:val="0079498A"/>
    <w:rsid w:val="00795D11"/>
    <w:rsid w:val="00797880"/>
    <w:rsid w:val="007A2735"/>
    <w:rsid w:val="007A2D79"/>
    <w:rsid w:val="007A3CCD"/>
    <w:rsid w:val="007B1A52"/>
    <w:rsid w:val="007B1CC2"/>
    <w:rsid w:val="007B7CC9"/>
    <w:rsid w:val="007C3BB7"/>
    <w:rsid w:val="007C462E"/>
    <w:rsid w:val="007C6D27"/>
    <w:rsid w:val="007C7A6D"/>
    <w:rsid w:val="007D1AEE"/>
    <w:rsid w:val="007D6A58"/>
    <w:rsid w:val="007E3294"/>
    <w:rsid w:val="007E68B7"/>
    <w:rsid w:val="007F0DAE"/>
    <w:rsid w:val="007F2FAD"/>
    <w:rsid w:val="007F3B5A"/>
    <w:rsid w:val="00802512"/>
    <w:rsid w:val="008056E2"/>
    <w:rsid w:val="00810E7F"/>
    <w:rsid w:val="00813F18"/>
    <w:rsid w:val="00822263"/>
    <w:rsid w:val="0082286E"/>
    <w:rsid w:val="008241B2"/>
    <w:rsid w:val="00830D8A"/>
    <w:rsid w:val="00836747"/>
    <w:rsid w:val="00843BD7"/>
    <w:rsid w:val="00854616"/>
    <w:rsid w:val="0086581D"/>
    <w:rsid w:val="0086604A"/>
    <w:rsid w:val="00872590"/>
    <w:rsid w:val="008733D9"/>
    <w:rsid w:val="00873E9D"/>
    <w:rsid w:val="00874DAB"/>
    <w:rsid w:val="00893A44"/>
    <w:rsid w:val="008A3F53"/>
    <w:rsid w:val="008A6A58"/>
    <w:rsid w:val="008A7390"/>
    <w:rsid w:val="008B20BA"/>
    <w:rsid w:val="008C0688"/>
    <w:rsid w:val="008C25F1"/>
    <w:rsid w:val="008C4534"/>
    <w:rsid w:val="008C6015"/>
    <w:rsid w:val="008C634F"/>
    <w:rsid w:val="008C7FAF"/>
    <w:rsid w:val="008D37C3"/>
    <w:rsid w:val="008D4053"/>
    <w:rsid w:val="008E3274"/>
    <w:rsid w:val="008F2F1C"/>
    <w:rsid w:val="008F4E9F"/>
    <w:rsid w:val="008F5CD5"/>
    <w:rsid w:val="008F6B0B"/>
    <w:rsid w:val="009024A3"/>
    <w:rsid w:val="00907707"/>
    <w:rsid w:val="00907D35"/>
    <w:rsid w:val="0091778F"/>
    <w:rsid w:val="00921608"/>
    <w:rsid w:val="009240C5"/>
    <w:rsid w:val="009244A3"/>
    <w:rsid w:val="009320A7"/>
    <w:rsid w:val="00935E87"/>
    <w:rsid w:val="009363D4"/>
    <w:rsid w:val="00943CB1"/>
    <w:rsid w:val="00943F51"/>
    <w:rsid w:val="00960A24"/>
    <w:rsid w:val="0096175B"/>
    <w:rsid w:val="009628CC"/>
    <w:rsid w:val="00967421"/>
    <w:rsid w:val="00972111"/>
    <w:rsid w:val="00983E45"/>
    <w:rsid w:val="00987102"/>
    <w:rsid w:val="0099029C"/>
    <w:rsid w:val="009924C0"/>
    <w:rsid w:val="00996F05"/>
    <w:rsid w:val="00997832"/>
    <w:rsid w:val="009A03A4"/>
    <w:rsid w:val="009A1CFD"/>
    <w:rsid w:val="009A2B3B"/>
    <w:rsid w:val="009A44B9"/>
    <w:rsid w:val="009A7457"/>
    <w:rsid w:val="009C3C67"/>
    <w:rsid w:val="009C40BF"/>
    <w:rsid w:val="009C52B7"/>
    <w:rsid w:val="009C6933"/>
    <w:rsid w:val="009C6DD5"/>
    <w:rsid w:val="009D0468"/>
    <w:rsid w:val="009D2BC7"/>
    <w:rsid w:val="009D3311"/>
    <w:rsid w:val="009D3BFA"/>
    <w:rsid w:val="009D4F35"/>
    <w:rsid w:val="009E27FA"/>
    <w:rsid w:val="009E7F38"/>
    <w:rsid w:val="00A035A8"/>
    <w:rsid w:val="00A061C1"/>
    <w:rsid w:val="00A0640B"/>
    <w:rsid w:val="00A06D8E"/>
    <w:rsid w:val="00A1095B"/>
    <w:rsid w:val="00A114CC"/>
    <w:rsid w:val="00A122A8"/>
    <w:rsid w:val="00A15E80"/>
    <w:rsid w:val="00A16BEE"/>
    <w:rsid w:val="00A203E5"/>
    <w:rsid w:val="00A21887"/>
    <w:rsid w:val="00A273BF"/>
    <w:rsid w:val="00A375D1"/>
    <w:rsid w:val="00A45F8D"/>
    <w:rsid w:val="00A56587"/>
    <w:rsid w:val="00A61C34"/>
    <w:rsid w:val="00A67770"/>
    <w:rsid w:val="00A714EA"/>
    <w:rsid w:val="00A82975"/>
    <w:rsid w:val="00A83F54"/>
    <w:rsid w:val="00A86D86"/>
    <w:rsid w:val="00A92521"/>
    <w:rsid w:val="00A93D17"/>
    <w:rsid w:val="00AA4800"/>
    <w:rsid w:val="00AB4072"/>
    <w:rsid w:val="00AB4104"/>
    <w:rsid w:val="00AB50C1"/>
    <w:rsid w:val="00AB538E"/>
    <w:rsid w:val="00AB6AB2"/>
    <w:rsid w:val="00AC2134"/>
    <w:rsid w:val="00AC4FFB"/>
    <w:rsid w:val="00AC53A7"/>
    <w:rsid w:val="00AD2041"/>
    <w:rsid w:val="00AD3269"/>
    <w:rsid w:val="00AD5B9D"/>
    <w:rsid w:val="00AE2C08"/>
    <w:rsid w:val="00B02AA0"/>
    <w:rsid w:val="00B15AFC"/>
    <w:rsid w:val="00B173FE"/>
    <w:rsid w:val="00B17795"/>
    <w:rsid w:val="00B208EB"/>
    <w:rsid w:val="00B25BE9"/>
    <w:rsid w:val="00B2719C"/>
    <w:rsid w:val="00B3090D"/>
    <w:rsid w:val="00B32F70"/>
    <w:rsid w:val="00B33CBF"/>
    <w:rsid w:val="00B36F2D"/>
    <w:rsid w:val="00B43178"/>
    <w:rsid w:val="00B523B7"/>
    <w:rsid w:val="00B564D2"/>
    <w:rsid w:val="00B60FB0"/>
    <w:rsid w:val="00B62C95"/>
    <w:rsid w:val="00B63020"/>
    <w:rsid w:val="00B63C33"/>
    <w:rsid w:val="00B63EA7"/>
    <w:rsid w:val="00B64C3C"/>
    <w:rsid w:val="00B6797E"/>
    <w:rsid w:val="00B80111"/>
    <w:rsid w:val="00B81265"/>
    <w:rsid w:val="00B86D46"/>
    <w:rsid w:val="00B87C49"/>
    <w:rsid w:val="00B93691"/>
    <w:rsid w:val="00BA1E7F"/>
    <w:rsid w:val="00BA2CA1"/>
    <w:rsid w:val="00BC183B"/>
    <w:rsid w:val="00BC6CFE"/>
    <w:rsid w:val="00BD2AF5"/>
    <w:rsid w:val="00BD3C01"/>
    <w:rsid w:val="00BD4A5E"/>
    <w:rsid w:val="00BD6EA4"/>
    <w:rsid w:val="00BE417F"/>
    <w:rsid w:val="00BE5FE4"/>
    <w:rsid w:val="00BE77B9"/>
    <w:rsid w:val="00BF1AFC"/>
    <w:rsid w:val="00C02893"/>
    <w:rsid w:val="00C03991"/>
    <w:rsid w:val="00C04F00"/>
    <w:rsid w:val="00C05A1B"/>
    <w:rsid w:val="00C12C97"/>
    <w:rsid w:val="00C23E4E"/>
    <w:rsid w:val="00C30435"/>
    <w:rsid w:val="00C316B2"/>
    <w:rsid w:val="00C3561A"/>
    <w:rsid w:val="00C4020F"/>
    <w:rsid w:val="00C53D5A"/>
    <w:rsid w:val="00C57B02"/>
    <w:rsid w:val="00C61895"/>
    <w:rsid w:val="00C634B7"/>
    <w:rsid w:val="00C65656"/>
    <w:rsid w:val="00C75870"/>
    <w:rsid w:val="00C8180B"/>
    <w:rsid w:val="00C8248C"/>
    <w:rsid w:val="00C84610"/>
    <w:rsid w:val="00C91A83"/>
    <w:rsid w:val="00C927E0"/>
    <w:rsid w:val="00C96B45"/>
    <w:rsid w:val="00C96BC8"/>
    <w:rsid w:val="00C976ED"/>
    <w:rsid w:val="00CA5CAA"/>
    <w:rsid w:val="00CA61DF"/>
    <w:rsid w:val="00CB035A"/>
    <w:rsid w:val="00CB41E2"/>
    <w:rsid w:val="00CC32A5"/>
    <w:rsid w:val="00CD261A"/>
    <w:rsid w:val="00CD57CE"/>
    <w:rsid w:val="00CD721C"/>
    <w:rsid w:val="00CE12C6"/>
    <w:rsid w:val="00CE7613"/>
    <w:rsid w:val="00CF1D6F"/>
    <w:rsid w:val="00CF4217"/>
    <w:rsid w:val="00D00DFC"/>
    <w:rsid w:val="00D03BD0"/>
    <w:rsid w:val="00D158FC"/>
    <w:rsid w:val="00D173CA"/>
    <w:rsid w:val="00D17CD1"/>
    <w:rsid w:val="00D215CF"/>
    <w:rsid w:val="00D30C26"/>
    <w:rsid w:val="00D359D1"/>
    <w:rsid w:val="00D37686"/>
    <w:rsid w:val="00D431D1"/>
    <w:rsid w:val="00D449BE"/>
    <w:rsid w:val="00D44FEF"/>
    <w:rsid w:val="00D512A6"/>
    <w:rsid w:val="00D53F2A"/>
    <w:rsid w:val="00D64FE2"/>
    <w:rsid w:val="00D77477"/>
    <w:rsid w:val="00D77783"/>
    <w:rsid w:val="00D9204A"/>
    <w:rsid w:val="00D921A2"/>
    <w:rsid w:val="00D94CB8"/>
    <w:rsid w:val="00DB3D70"/>
    <w:rsid w:val="00DB58FE"/>
    <w:rsid w:val="00DD2480"/>
    <w:rsid w:val="00DD3580"/>
    <w:rsid w:val="00DD5DE4"/>
    <w:rsid w:val="00DD7493"/>
    <w:rsid w:val="00DE11A0"/>
    <w:rsid w:val="00DE1E40"/>
    <w:rsid w:val="00DE4A00"/>
    <w:rsid w:val="00DE6190"/>
    <w:rsid w:val="00DE62BF"/>
    <w:rsid w:val="00DE7837"/>
    <w:rsid w:val="00DF7BC6"/>
    <w:rsid w:val="00E101DA"/>
    <w:rsid w:val="00E12296"/>
    <w:rsid w:val="00E12912"/>
    <w:rsid w:val="00E12E86"/>
    <w:rsid w:val="00E14C3A"/>
    <w:rsid w:val="00E23099"/>
    <w:rsid w:val="00E23128"/>
    <w:rsid w:val="00E245F4"/>
    <w:rsid w:val="00E37D5C"/>
    <w:rsid w:val="00E4435C"/>
    <w:rsid w:val="00E44C81"/>
    <w:rsid w:val="00E512D7"/>
    <w:rsid w:val="00E619FC"/>
    <w:rsid w:val="00E647B3"/>
    <w:rsid w:val="00E66119"/>
    <w:rsid w:val="00E760D2"/>
    <w:rsid w:val="00E76EC2"/>
    <w:rsid w:val="00E77CC2"/>
    <w:rsid w:val="00E8347D"/>
    <w:rsid w:val="00E87475"/>
    <w:rsid w:val="00E9213F"/>
    <w:rsid w:val="00E963A4"/>
    <w:rsid w:val="00EA3A66"/>
    <w:rsid w:val="00EB24DC"/>
    <w:rsid w:val="00EB559F"/>
    <w:rsid w:val="00EC0C8F"/>
    <w:rsid w:val="00EC1129"/>
    <w:rsid w:val="00EC2751"/>
    <w:rsid w:val="00EC5A0B"/>
    <w:rsid w:val="00EC5E0E"/>
    <w:rsid w:val="00ED0109"/>
    <w:rsid w:val="00ED31DE"/>
    <w:rsid w:val="00ED6102"/>
    <w:rsid w:val="00ED75F1"/>
    <w:rsid w:val="00EE0828"/>
    <w:rsid w:val="00EE11CA"/>
    <w:rsid w:val="00EE1A1C"/>
    <w:rsid w:val="00EE764E"/>
    <w:rsid w:val="00EE7FE6"/>
    <w:rsid w:val="00EF3964"/>
    <w:rsid w:val="00EF4028"/>
    <w:rsid w:val="00F024CB"/>
    <w:rsid w:val="00F13120"/>
    <w:rsid w:val="00F1473A"/>
    <w:rsid w:val="00F23AD4"/>
    <w:rsid w:val="00F25808"/>
    <w:rsid w:val="00F26DAB"/>
    <w:rsid w:val="00F31D8E"/>
    <w:rsid w:val="00F3428D"/>
    <w:rsid w:val="00F416A1"/>
    <w:rsid w:val="00F542A0"/>
    <w:rsid w:val="00F5435C"/>
    <w:rsid w:val="00F55580"/>
    <w:rsid w:val="00F569BA"/>
    <w:rsid w:val="00F627CE"/>
    <w:rsid w:val="00F707EA"/>
    <w:rsid w:val="00F7719B"/>
    <w:rsid w:val="00F81479"/>
    <w:rsid w:val="00F8151D"/>
    <w:rsid w:val="00F91349"/>
    <w:rsid w:val="00F913B9"/>
    <w:rsid w:val="00F9408D"/>
    <w:rsid w:val="00F9591F"/>
    <w:rsid w:val="00F9610D"/>
    <w:rsid w:val="00FA3569"/>
    <w:rsid w:val="00FB2132"/>
    <w:rsid w:val="00FB2451"/>
    <w:rsid w:val="00FB2B99"/>
    <w:rsid w:val="00FB6C20"/>
    <w:rsid w:val="00FB7120"/>
    <w:rsid w:val="00FC37AA"/>
    <w:rsid w:val="00FC554F"/>
    <w:rsid w:val="00FC614C"/>
    <w:rsid w:val="00FD0199"/>
    <w:rsid w:val="00FE0416"/>
    <w:rsid w:val="00FE242D"/>
    <w:rsid w:val="00FE6E6B"/>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5A21D"/>
  <w15:docId w15:val="{F8A005B5-1282-49B3-AB2F-8DE94B85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610D"/>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ud.gov/offices/adm/hudclips/forms/files/50077sl.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AE80-0F0B-4709-A63D-C9C634C0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8</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40176</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Karyn Knaak</cp:lastModifiedBy>
  <cp:revision>12</cp:revision>
  <cp:lastPrinted>2022-08-18T21:36:00Z</cp:lastPrinted>
  <dcterms:created xsi:type="dcterms:W3CDTF">2022-08-02T17:43:00Z</dcterms:created>
  <dcterms:modified xsi:type="dcterms:W3CDTF">2022-08-18T22:01:00Z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